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8AE" w:rsidRDefault="001368AE">
      <w:pPr>
        <w:pStyle w:val="Titre"/>
        <w:rPr>
          <w:color w:val="000000"/>
        </w:rPr>
      </w:pPr>
      <w:bookmarkStart w:id="0" w:name="_Toc71847771"/>
      <w:bookmarkStart w:id="1" w:name="_Toc71851505"/>
      <w:bookmarkStart w:id="2" w:name="_Toc71851622"/>
      <w:bookmarkStart w:id="3" w:name="_Toc71852178"/>
      <w:bookmarkStart w:id="4" w:name="_Toc71852288"/>
      <w:bookmarkStart w:id="5" w:name="_Toc71852398"/>
      <w:bookmarkStart w:id="6" w:name="_Toc71852558"/>
      <w:bookmarkStart w:id="7" w:name="_Toc72198099"/>
      <w:bookmarkStart w:id="8" w:name="_Toc72468279"/>
      <w:bookmarkStart w:id="9" w:name="_Toc72468389"/>
      <w:bookmarkStart w:id="10" w:name="_Toc72469450"/>
      <w:bookmarkStart w:id="11" w:name="_Toc72469620"/>
      <w:bookmarkStart w:id="12" w:name="_Toc72469818"/>
      <w:bookmarkStart w:id="13" w:name="_Toc72469974"/>
      <w:bookmarkStart w:id="14" w:name="_Toc72471299"/>
      <w:bookmarkStart w:id="15" w:name="_Toc72567701"/>
      <w:bookmarkStart w:id="16" w:name="_Toc72567822"/>
      <w:bookmarkStart w:id="17" w:name="_Toc72726610"/>
      <w:bookmarkStart w:id="18" w:name="_Toc72739696"/>
    </w:p>
    <w:p w:rsidR="00E47D96" w:rsidRPr="008D2996" w:rsidRDefault="00E47D96">
      <w:pPr>
        <w:pStyle w:val="Titre"/>
        <w:rPr>
          <w:color w:val="000000"/>
        </w:rPr>
      </w:pPr>
      <w:r w:rsidRPr="008D2996">
        <w:rPr>
          <w:color w:val="000000"/>
        </w:rPr>
        <w:tab/>
      </w:r>
    </w:p>
    <w:p w:rsidR="00E47D96" w:rsidRPr="008D2996" w:rsidRDefault="00E47D96">
      <w:pPr>
        <w:pStyle w:val="Titre"/>
        <w:rPr>
          <w:color w:val="000000"/>
        </w:rPr>
      </w:pPr>
    </w:p>
    <w:p w:rsidR="00E47D96" w:rsidRPr="008D2996" w:rsidRDefault="00E47D96">
      <w:pPr>
        <w:pStyle w:val="Titre"/>
        <w:rPr>
          <w:color w:val="000000"/>
        </w:rPr>
      </w:pPr>
    </w:p>
    <w:p w:rsidR="00E47D96" w:rsidRPr="008D2996" w:rsidRDefault="00E47D96">
      <w:pPr>
        <w:pStyle w:val="Titre"/>
        <w:rPr>
          <w:color w:val="000000"/>
        </w:rPr>
      </w:pPr>
    </w:p>
    <w:p w:rsidR="00E47D96" w:rsidRPr="008D2996" w:rsidRDefault="00E47D96">
      <w:pPr>
        <w:pStyle w:val="Titre"/>
        <w:rPr>
          <w:color w:val="000000"/>
        </w:rPr>
      </w:pPr>
    </w:p>
    <w:p w:rsidR="00E47D96" w:rsidRPr="008D2996" w:rsidRDefault="00E47D96">
      <w:pPr>
        <w:pStyle w:val="Titre"/>
        <w:rPr>
          <w:color w:val="000000"/>
        </w:rPr>
      </w:pPr>
    </w:p>
    <w:p w:rsidR="00E47D96" w:rsidRPr="008D2996" w:rsidRDefault="00E47D96">
      <w:pPr>
        <w:pStyle w:val="Titre"/>
        <w:rPr>
          <w:color w:val="000000"/>
        </w:rPr>
      </w:pPr>
    </w:p>
    <w:p w:rsidR="00E47D96" w:rsidRPr="008D2996" w:rsidRDefault="00CA5FEA" w:rsidP="00223632">
      <w:pPr>
        <w:jc w:val="center"/>
        <w:rPr>
          <w:b/>
          <w:bCs/>
          <w:caps/>
          <w:sz w:val="32"/>
          <w:szCs w:val="32"/>
        </w:rPr>
      </w:pPr>
      <w:r w:rsidRPr="008D2996">
        <w:rPr>
          <w:b/>
          <w:bCs/>
          <w:caps/>
          <w:sz w:val="32"/>
          <w:szCs w:val="32"/>
        </w:rPr>
        <w:t xml:space="preserve">PROJET DE Rapport sur la situation générale </w:t>
      </w:r>
      <w:r w:rsidRPr="008D2996">
        <w:rPr>
          <w:b/>
          <w:bCs/>
          <w:caps/>
          <w:sz w:val="32"/>
          <w:szCs w:val="32"/>
        </w:rPr>
        <w:br/>
        <w:t xml:space="preserve">du secteur des assurances </w:t>
      </w:r>
      <w:r w:rsidRPr="008D2996">
        <w:rPr>
          <w:b/>
          <w:bCs/>
          <w:caps/>
          <w:sz w:val="32"/>
          <w:szCs w:val="32"/>
        </w:rPr>
        <w:br/>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D2996">
        <w:rPr>
          <w:b/>
          <w:bCs/>
          <w:caps/>
          <w:sz w:val="32"/>
          <w:szCs w:val="32"/>
        </w:rPr>
        <w:t>2010</w:t>
      </w:r>
    </w:p>
    <w:p w:rsidR="00E47D96" w:rsidRPr="008D2996" w:rsidRDefault="00E47D96" w:rsidP="003D7075">
      <w:pPr>
        <w:jc w:val="center"/>
        <w:rPr>
          <w:b/>
          <w:bCs/>
          <w:caps/>
          <w:color w:val="000000"/>
          <w:sz w:val="36"/>
          <w:szCs w:val="36"/>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pPr>
        <w:pStyle w:val="Commentaire"/>
        <w:rPr>
          <w:color w:val="000000"/>
          <w:sz w:val="18"/>
          <w:szCs w:val="18"/>
          <w:highlight w:val="yellow"/>
        </w:rPr>
      </w:pPr>
    </w:p>
    <w:p w:rsidR="00E47D96" w:rsidRPr="008D2996" w:rsidRDefault="00E47D96" w:rsidP="00E03BDB">
      <w:pPr>
        <w:pStyle w:val="Commentaire"/>
        <w:jc w:val="center"/>
        <w:rPr>
          <w:color w:val="000000"/>
          <w:sz w:val="18"/>
          <w:szCs w:val="18"/>
          <w:highlight w:val="yellow"/>
        </w:rPr>
      </w:pPr>
    </w:p>
    <w:p w:rsidR="00E47D96" w:rsidRPr="008D2996" w:rsidRDefault="00E47D96">
      <w:pPr>
        <w:spacing w:after="0" w:line="240" w:lineRule="auto"/>
        <w:jc w:val="center"/>
        <w:rPr>
          <w:color w:val="000000"/>
          <w:highlight w:val="yellow"/>
        </w:rPr>
        <w:sectPr w:rsidR="00E47D96" w:rsidRPr="008D2996" w:rsidSect="004F6626">
          <w:headerReference w:type="default" r:id="rId8"/>
          <w:footerReference w:type="default" r:id="rId9"/>
          <w:footnotePr>
            <w:numRestart w:val="eachPage"/>
          </w:footnotePr>
          <w:type w:val="nextColumn"/>
          <w:pgSz w:w="11906" w:h="16838" w:code="9"/>
          <w:pgMar w:top="1871" w:right="1134" w:bottom="1304" w:left="1134" w:header="709" w:footer="709" w:gutter="0"/>
          <w:cols w:space="708"/>
          <w:docGrid w:linePitch="360"/>
        </w:sectPr>
      </w:pPr>
    </w:p>
    <w:bookmarkStart w:id="19" w:name="_Toc496256613" w:displacedByCustomXml="next"/>
    <w:bookmarkStart w:id="20" w:name="_Toc71847659" w:displacedByCustomXml="next"/>
    <w:bookmarkStart w:id="21" w:name="_Toc71851506" w:displacedByCustomXml="next"/>
    <w:bookmarkStart w:id="22" w:name="_Toc71851623" w:displacedByCustomXml="next"/>
    <w:sdt>
      <w:sdtPr>
        <w:rPr>
          <w:rFonts w:ascii="Trebuchet MS" w:eastAsia="Times New Roman" w:hAnsi="Trebuchet MS" w:cs="Trebuchet MS"/>
          <w:b w:val="0"/>
          <w:bCs w:val="0"/>
          <w:color w:val="auto"/>
          <w:sz w:val="22"/>
          <w:szCs w:val="22"/>
          <w:lang w:eastAsia="fr-FR"/>
        </w:rPr>
        <w:id w:val="29109673"/>
        <w:docPartObj>
          <w:docPartGallery w:val="Table of Contents"/>
          <w:docPartUnique/>
        </w:docPartObj>
      </w:sdtPr>
      <w:sdtContent>
        <w:p w:rsidR="009253CC" w:rsidRPr="006F5C38" w:rsidRDefault="009253CC" w:rsidP="006F5C38">
          <w:pPr>
            <w:pStyle w:val="En-ttedetabledesmatires"/>
            <w:tabs>
              <w:tab w:val="left" w:pos="7378"/>
            </w:tabs>
            <w:rPr>
              <w:sz w:val="24"/>
              <w:szCs w:val="24"/>
            </w:rPr>
          </w:pPr>
          <w:r>
            <w:t>Sommaire</w:t>
          </w:r>
          <w:r w:rsidR="006F5C38" w:rsidRPr="006F5C38">
            <w:rPr>
              <w:sz w:val="24"/>
              <w:szCs w:val="24"/>
            </w:rPr>
            <w:tab/>
          </w:r>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r w:rsidRPr="00013D42">
            <w:rPr>
              <w:sz w:val="18"/>
              <w:szCs w:val="18"/>
            </w:rPr>
            <w:fldChar w:fldCharType="begin"/>
          </w:r>
          <w:r w:rsidR="009253CC" w:rsidRPr="006F5C38">
            <w:rPr>
              <w:sz w:val="18"/>
              <w:szCs w:val="18"/>
            </w:rPr>
            <w:instrText xml:space="preserve"> TOC \o "1-3" \h \z \u </w:instrText>
          </w:r>
          <w:r w:rsidRPr="00013D42">
            <w:rPr>
              <w:sz w:val="18"/>
              <w:szCs w:val="18"/>
            </w:rPr>
            <w:fldChar w:fldCharType="separate"/>
          </w:r>
          <w:hyperlink w:anchor="_Toc327916497" w:history="1">
            <w:r w:rsidR="00BF5F66">
              <w:rPr>
                <w:rStyle w:val="Lienhypertexte"/>
                <w:caps w:val="0"/>
                <w:noProof/>
                <w:sz w:val="18"/>
                <w:szCs w:val="18"/>
              </w:rPr>
              <w:t>I</w:t>
            </w:r>
            <w:r w:rsidR="00293720" w:rsidRPr="006F5C38">
              <w:rPr>
                <w:rStyle w:val="Lienhypertexte"/>
                <w:caps w:val="0"/>
                <w:noProof/>
                <w:sz w:val="18"/>
                <w:szCs w:val="18"/>
              </w:rPr>
              <w:t>ntroduction</w:t>
            </w:r>
            <w:r w:rsidR="00293720" w:rsidRPr="006F5C38">
              <w:rPr>
                <w:caps w:val="0"/>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_Toc327916497 \h </w:instrText>
            </w:r>
            <w:r w:rsidRPr="006F5C38">
              <w:rPr>
                <w:noProof/>
                <w:webHidden/>
                <w:sz w:val="18"/>
                <w:szCs w:val="18"/>
              </w:rPr>
            </w:r>
            <w:r w:rsidRPr="006F5C38">
              <w:rPr>
                <w:noProof/>
                <w:webHidden/>
                <w:sz w:val="18"/>
                <w:szCs w:val="18"/>
              </w:rPr>
              <w:fldChar w:fldCharType="separate"/>
            </w:r>
            <w:r w:rsidR="000A21C8">
              <w:rPr>
                <w:noProof/>
                <w:webHidden/>
                <w:sz w:val="18"/>
                <w:szCs w:val="18"/>
              </w:rPr>
              <w:t>5</w:t>
            </w:r>
            <w:r w:rsidRPr="006F5C38">
              <w:rPr>
                <w:noProof/>
                <w:webHidden/>
                <w:sz w:val="18"/>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498" w:history="1">
            <w:r w:rsidR="00BF5F66" w:rsidRPr="006F5C38">
              <w:rPr>
                <w:rStyle w:val="Lienhypertexte"/>
                <w:caps w:val="0"/>
                <w:noProof/>
                <w:sz w:val="18"/>
                <w:szCs w:val="18"/>
              </w:rPr>
              <w:t>1° CHAPITRE : ENVIRONNEMENT INTERNATIONAL 2010</w:t>
            </w:r>
            <w:r w:rsidR="00BF5F66" w:rsidRPr="006F5C38">
              <w:rPr>
                <w:caps w:val="0"/>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_Toc327916498 \h </w:instrText>
            </w:r>
            <w:r w:rsidRPr="006F5C38">
              <w:rPr>
                <w:noProof/>
                <w:webHidden/>
                <w:sz w:val="18"/>
                <w:szCs w:val="18"/>
              </w:rPr>
            </w:r>
            <w:r w:rsidRPr="006F5C38">
              <w:rPr>
                <w:noProof/>
                <w:webHidden/>
                <w:sz w:val="18"/>
                <w:szCs w:val="18"/>
              </w:rPr>
              <w:fldChar w:fldCharType="separate"/>
            </w:r>
            <w:r w:rsidR="000A21C8">
              <w:rPr>
                <w:noProof/>
                <w:webHidden/>
                <w:sz w:val="18"/>
                <w:szCs w:val="18"/>
              </w:rPr>
              <w:t>6</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499" w:history="1">
            <w:r w:rsidR="00BF5F66">
              <w:rPr>
                <w:rStyle w:val="Lienhypertexte"/>
                <w:caps w:val="0"/>
                <w:noProof/>
                <w:sz w:val="14"/>
                <w:szCs w:val="18"/>
              </w:rPr>
              <w:t>L</w:t>
            </w:r>
            <w:r w:rsidR="00293720" w:rsidRPr="00C62FD7">
              <w:rPr>
                <w:rStyle w:val="Lienhypertexte"/>
                <w:caps w:val="0"/>
                <w:noProof/>
                <w:sz w:val="14"/>
                <w:szCs w:val="18"/>
              </w:rPr>
              <w:t>es marches de l’assurance dans le monde</w:t>
            </w:r>
            <w:r w:rsidR="00293720"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_Toc327916499 \h </w:instrText>
            </w:r>
            <w:r w:rsidRPr="00C62FD7">
              <w:rPr>
                <w:noProof/>
                <w:webHidden/>
                <w:sz w:val="14"/>
                <w:szCs w:val="18"/>
              </w:rPr>
            </w:r>
            <w:r w:rsidRPr="00C62FD7">
              <w:rPr>
                <w:noProof/>
                <w:webHidden/>
                <w:sz w:val="14"/>
                <w:szCs w:val="18"/>
              </w:rPr>
              <w:fldChar w:fldCharType="separate"/>
            </w:r>
            <w:r w:rsidR="000A21C8">
              <w:rPr>
                <w:noProof/>
                <w:webHidden/>
                <w:sz w:val="14"/>
                <w:szCs w:val="18"/>
              </w:rPr>
              <w:t>7</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00" w:history="1">
            <w:r w:rsidR="00BF5F66">
              <w:rPr>
                <w:rStyle w:val="Lienhypertexte"/>
                <w:caps w:val="0"/>
                <w:noProof/>
                <w:sz w:val="14"/>
                <w:szCs w:val="18"/>
              </w:rPr>
              <w:t>L</w:t>
            </w:r>
            <w:r w:rsidR="00293720" w:rsidRPr="00C62FD7">
              <w:rPr>
                <w:rStyle w:val="Lienhypertexte"/>
                <w:caps w:val="0"/>
                <w:noProof/>
                <w:sz w:val="14"/>
                <w:szCs w:val="18"/>
              </w:rPr>
              <w:t>e marche africain de l’assurance</w:t>
            </w:r>
            <w:r w:rsidR="00293720"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_Toc327916500 \h </w:instrText>
            </w:r>
            <w:r w:rsidRPr="00C62FD7">
              <w:rPr>
                <w:noProof/>
                <w:webHidden/>
                <w:sz w:val="14"/>
                <w:szCs w:val="18"/>
              </w:rPr>
            </w:r>
            <w:r w:rsidRPr="00C62FD7">
              <w:rPr>
                <w:noProof/>
                <w:webHidden/>
                <w:sz w:val="14"/>
                <w:szCs w:val="18"/>
              </w:rPr>
              <w:fldChar w:fldCharType="separate"/>
            </w:r>
            <w:r w:rsidR="000A21C8">
              <w:rPr>
                <w:noProof/>
                <w:webHidden/>
                <w:sz w:val="14"/>
                <w:szCs w:val="18"/>
              </w:rPr>
              <w:t>8</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01" w:history="1">
            <w:r w:rsidR="00293720" w:rsidRPr="00C62FD7">
              <w:rPr>
                <w:rStyle w:val="Lienhypertexte"/>
                <w:caps w:val="0"/>
                <w:noProof/>
                <w:sz w:val="14"/>
                <w:szCs w:val="18"/>
              </w:rPr>
              <w:t>le marche maghrebin de l’assurance</w:t>
            </w:r>
            <w:r w:rsidR="00293720"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_Toc327916501 \h </w:instrText>
            </w:r>
            <w:r w:rsidRPr="00C62FD7">
              <w:rPr>
                <w:noProof/>
                <w:webHidden/>
                <w:sz w:val="14"/>
                <w:szCs w:val="18"/>
              </w:rPr>
            </w:r>
            <w:r w:rsidRPr="00C62FD7">
              <w:rPr>
                <w:noProof/>
                <w:webHidden/>
                <w:sz w:val="14"/>
                <w:szCs w:val="18"/>
              </w:rPr>
              <w:fldChar w:fldCharType="separate"/>
            </w:r>
            <w:r w:rsidR="000A21C8">
              <w:rPr>
                <w:noProof/>
                <w:webHidden/>
                <w:sz w:val="14"/>
                <w:szCs w:val="18"/>
              </w:rPr>
              <w:t>9</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02" w:history="1">
            <w:r w:rsidR="00BF5F66">
              <w:rPr>
                <w:rStyle w:val="Lienhypertexte"/>
                <w:caps w:val="0"/>
                <w:noProof/>
                <w:sz w:val="14"/>
                <w:szCs w:val="18"/>
              </w:rPr>
              <w:t>L</w:t>
            </w:r>
            <w:r w:rsidR="00293720" w:rsidRPr="00C62FD7">
              <w:rPr>
                <w:rStyle w:val="Lienhypertexte"/>
                <w:caps w:val="0"/>
                <w:noProof/>
                <w:sz w:val="14"/>
                <w:szCs w:val="18"/>
              </w:rPr>
              <w:t>e marche algerien de l’assurance</w:t>
            </w:r>
            <w:r w:rsidR="00293720"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_Toc327916502 \h </w:instrText>
            </w:r>
            <w:r w:rsidRPr="00C62FD7">
              <w:rPr>
                <w:noProof/>
                <w:webHidden/>
                <w:sz w:val="14"/>
                <w:szCs w:val="18"/>
              </w:rPr>
            </w:r>
            <w:r w:rsidRPr="00C62FD7">
              <w:rPr>
                <w:noProof/>
                <w:webHidden/>
                <w:sz w:val="14"/>
                <w:szCs w:val="18"/>
              </w:rPr>
              <w:fldChar w:fldCharType="separate"/>
            </w:r>
            <w:r w:rsidR="000A21C8">
              <w:rPr>
                <w:noProof/>
                <w:webHidden/>
                <w:sz w:val="14"/>
                <w:szCs w:val="18"/>
              </w:rPr>
              <w:t>10</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03" w:history="1">
            <w:r w:rsidR="006003CD" w:rsidRPr="006F5C38">
              <w:rPr>
                <w:rStyle w:val="Lienhypertexte"/>
                <w:noProof/>
                <w:sz w:val="18"/>
                <w:szCs w:val="18"/>
              </w:rPr>
              <w:t>2° Chapitre : CONTEXTE 2010</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_Toc327916503 \h </w:instrText>
            </w:r>
            <w:r w:rsidRPr="006F5C38">
              <w:rPr>
                <w:noProof/>
                <w:webHidden/>
                <w:sz w:val="18"/>
                <w:szCs w:val="18"/>
              </w:rPr>
            </w:r>
            <w:r w:rsidRPr="006F5C38">
              <w:rPr>
                <w:noProof/>
                <w:webHidden/>
                <w:sz w:val="18"/>
                <w:szCs w:val="18"/>
              </w:rPr>
              <w:fldChar w:fldCharType="separate"/>
            </w:r>
            <w:r w:rsidR="000A21C8">
              <w:rPr>
                <w:noProof/>
                <w:webHidden/>
                <w:sz w:val="18"/>
                <w:szCs w:val="18"/>
              </w:rPr>
              <w:t>13</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04" w:history="1">
            <w:r w:rsidR="00BF5F66">
              <w:rPr>
                <w:rStyle w:val="Lienhypertexte"/>
                <w:caps w:val="0"/>
                <w:noProof/>
                <w:sz w:val="14"/>
                <w:szCs w:val="18"/>
              </w:rPr>
              <w:t>E</w:t>
            </w:r>
            <w:r w:rsidR="00293720" w:rsidRPr="00C62FD7">
              <w:rPr>
                <w:rStyle w:val="Lienhypertexte"/>
                <w:caps w:val="0"/>
                <w:noProof/>
                <w:sz w:val="14"/>
                <w:szCs w:val="18"/>
              </w:rPr>
              <w:t>nvironnement economique et financier</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_Toc327916504 \h </w:instrText>
            </w:r>
            <w:r w:rsidRPr="00C62FD7">
              <w:rPr>
                <w:noProof/>
                <w:webHidden/>
                <w:sz w:val="14"/>
                <w:szCs w:val="18"/>
              </w:rPr>
            </w:r>
            <w:r w:rsidRPr="00C62FD7">
              <w:rPr>
                <w:noProof/>
                <w:webHidden/>
                <w:sz w:val="14"/>
                <w:szCs w:val="18"/>
              </w:rPr>
              <w:fldChar w:fldCharType="separate"/>
            </w:r>
            <w:r w:rsidR="000A21C8">
              <w:rPr>
                <w:noProof/>
                <w:webHidden/>
                <w:sz w:val="14"/>
                <w:szCs w:val="18"/>
              </w:rPr>
              <w:t>14</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08" w:history="1">
            <w:r w:rsidR="00BF5F66">
              <w:rPr>
                <w:rStyle w:val="Lienhypertexte"/>
                <w:caps w:val="0"/>
                <w:noProof/>
                <w:sz w:val="14"/>
                <w:szCs w:val="18"/>
              </w:rPr>
              <w:t>P</w:t>
            </w:r>
            <w:r w:rsidR="00293720" w:rsidRPr="00C62FD7">
              <w:rPr>
                <w:rStyle w:val="Lienhypertexte"/>
                <w:caps w:val="0"/>
                <w:noProof/>
                <w:sz w:val="14"/>
                <w:szCs w:val="18"/>
              </w:rPr>
              <w:t>atrimoine assurable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_Toc327916508 \h </w:instrText>
            </w:r>
            <w:r w:rsidRPr="00C62FD7">
              <w:rPr>
                <w:noProof/>
                <w:webHidden/>
                <w:sz w:val="14"/>
                <w:szCs w:val="18"/>
              </w:rPr>
            </w:r>
            <w:r w:rsidRPr="00C62FD7">
              <w:rPr>
                <w:noProof/>
                <w:webHidden/>
                <w:sz w:val="14"/>
                <w:szCs w:val="18"/>
              </w:rPr>
              <w:fldChar w:fldCharType="separate"/>
            </w:r>
            <w:r w:rsidR="000A21C8">
              <w:rPr>
                <w:noProof/>
                <w:webHidden/>
                <w:sz w:val="14"/>
                <w:szCs w:val="18"/>
              </w:rPr>
              <w:t>15</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10" w:history="1">
            <w:r w:rsidR="00BF5F66">
              <w:rPr>
                <w:rStyle w:val="Lienhypertexte"/>
                <w:caps w:val="0"/>
                <w:noProof/>
                <w:sz w:val="14"/>
                <w:szCs w:val="18"/>
              </w:rPr>
              <w:t>A</w:t>
            </w:r>
            <w:r w:rsidR="00293720" w:rsidRPr="00C62FD7">
              <w:rPr>
                <w:rStyle w:val="Lienhypertexte"/>
                <w:caps w:val="0"/>
                <w:noProof/>
                <w:sz w:val="14"/>
                <w:szCs w:val="18"/>
              </w:rPr>
              <w:t>ccidentologie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_Toc327916510 \h </w:instrText>
            </w:r>
            <w:r w:rsidRPr="00C62FD7">
              <w:rPr>
                <w:noProof/>
                <w:webHidden/>
                <w:sz w:val="14"/>
                <w:szCs w:val="18"/>
              </w:rPr>
            </w:r>
            <w:r w:rsidRPr="00C62FD7">
              <w:rPr>
                <w:noProof/>
                <w:webHidden/>
                <w:sz w:val="14"/>
                <w:szCs w:val="18"/>
              </w:rPr>
              <w:fldChar w:fldCharType="separate"/>
            </w:r>
            <w:r w:rsidR="000A21C8">
              <w:rPr>
                <w:noProof/>
                <w:webHidden/>
                <w:sz w:val="14"/>
                <w:szCs w:val="18"/>
              </w:rPr>
              <w:t>16</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11" w:history="1">
            <w:r w:rsidR="006003CD" w:rsidRPr="006F5C38">
              <w:rPr>
                <w:rStyle w:val="Lienhypertexte"/>
                <w:noProof/>
                <w:sz w:val="18"/>
                <w:szCs w:val="18"/>
              </w:rPr>
              <w:t>3° Chapitre : La production en 2010</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_Toc327916511 \h </w:instrText>
            </w:r>
            <w:r w:rsidRPr="006F5C38">
              <w:rPr>
                <w:noProof/>
                <w:webHidden/>
                <w:sz w:val="18"/>
                <w:szCs w:val="18"/>
              </w:rPr>
            </w:r>
            <w:r w:rsidRPr="006F5C38">
              <w:rPr>
                <w:noProof/>
                <w:webHidden/>
                <w:sz w:val="18"/>
                <w:szCs w:val="18"/>
              </w:rPr>
              <w:fldChar w:fldCharType="separate"/>
            </w:r>
            <w:r w:rsidR="000A21C8">
              <w:rPr>
                <w:noProof/>
                <w:webHidden/>
                <w:sz w:val="18"/>
                <w:szCs w:val="18"/>
              </w:rPr>
              <w:t>22</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12" w:history="1">
            <w:r w:rsidR="00BF5F66">
              <w:rPr>
                <w:rStyle w:val="Lienhypertexte"/>
                <w:caps w:val="0"/>
                <w:noProof/>
                <w:sz w:val="14"/>
                <w:szCs w:val="18"/>
              </w:rPr>
              <w:t>P</w:t>
            </w:r>
            <w:r w:rsidR="00BF5F66" w:rsidRPr="00C62FD7">
              <w:rPr>
                <w:rStyle w:val="Lienhypertexte"/>
                <w:caps w:val="0"/>
                <w:noProof/>
                <w:sz w:val="14"/>
                <w:szCs w:val="18"/>
              </w:rPr>
              <w:t>resentation</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_Toc327916512 \h </w:instrText>
            </w:r>
            <w:r w:rsidRPr="00C62FD7">
              <w:rPr>
                <w:noProof/>
                <w:webHidden/>
                <w:sz w:val="14"/>
                <w:szCs w:val="18"/>
              </w:rPr>
            </w:r>
            <w:r w:rsidRPr="00C62FD7">
              <w:rPr>
                <w:noProof/>
                <w:webHidden/>
                <w:sz w:val="14"/>
                <w:szCs w:val="18"/>
              </w:rPr>
              <w:fldChar w:fldCharType="separate"/>
            </w:r>
            <w:r w:rsidR="000A21C8">
              <w:rPr>
                <w:noProof/>
                <w:webHidden/>
                <w:sz w:val="14"/>
                <w:szCs w:val="18"/>
              </w:rPr>
              <w:t>23</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15" w:history="1">
            <w:r w:rsidR="00BF5F66">
              <w:rPr>
                <w:rStyle w:val="Lienhypertexte"/>
                <w:caps w:val="0"/>
                <w:noProof/>
                <w:sz w:val="14"/>
                <w:szCs w:val="18"/>
              </w:rPr>
              <w:t>E</w:t>
            </w:r>
            <w:r w:rsidR="00BF5F66" w:rsidRPr="00C62FD7">
              <w:rPr>
                <w:rStyle w:val="Lienhypertexte"/>
                <w:caps w:val="0"/>
                <w:noProof/>
                <w:sz w:val="14"/>
                <w:szCs w:val="18"/>
              </w:rPr>
              <w:t>volution et structure de la production</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_Toc327916515 \h </w:instrText>
            </w:r>
            <w:r w:rsidRPr="00C62FD7">
              <w:rPr>
                <w:noProof/>
                <w:webHidden/>
                <w:sz w:val="14"/>
                <w:szCs w:val="18"/>
              </w:rPr>
            </w:r>
            <w:r w:rsidRPr="00C62FD7">
              <w:rPr>
                <w:noProof/>
                <w:webHidden/>
                <w:sz w:val="14"/>
                <w:szCs w:val="18"/>
              </w:rPr>
              <w:fldChar w:fldCharType="separate"/>
            </w:r>
            <w:r w:rsidR="000A21C8">
              <w:rPr>
                <w:noProof/>
                <w:webHidden/>
                <w:sz w:val="14"/>
                <w:szCs w:val="18"/>
              </w:rPr>
              <w:t>24</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18" w:history="1">
            <w:r w:rsidR="00BF5F66">
              <w:rPr>
                <w:rStyle w:val="Lienhypertexte"/>
                <w:caps w:val="0"/>
                <w:noProof/>
                <w:sz w:val="14"/>
                <w:szCs w:val="18"/>
              </w:rPr>
              <w:t>S</w:t>
            </w:r>
            <w:r w:rsidR="00BF5F66" w:rsidRPr="00C62FD7">
              <w:rPr>
                <w:rStyle w:val="Lienhypertexte"/>
                <w:caps w:val="0"/>
                <w:noProof/>
                <w:sz w:val="14"/>
                <w:szCs w:val="18"/>
              </w:rPr>
              <w:t>tructure et parts de marche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_Toc327916518 \h </w:instrText>
            </w:r>
            <w:r w:rsidRPr="00C62FD7">
              <w:rPr>
                <w:noProof/>
                <w:webHidden/>
                <w:sz w:val="14"/>
                <w:szCs w:val="18"/>
              </w:rPr>
            </w:r>
            <w:r w:rsidRPr="00C62FD7">
              <w:rPr>
                <w:noProof/>
                <w:webHidden/>
                <w:sz w:val="14"/>
                <w:szCs w:val="18"/>
              </w:rPr>
              <w:fldChar w:fldCharType="separate"/>
            </w:r>
            <w:r w:rsidR="000A21C8">
              <w:rPr>
                <w:noProof/>
                <w:webHidden/>
                <w:sz w:val="14"/>
                <w:szCs w:val="18"/>
              </w:rPr>
              <w:t>29</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20" w:history="1">
            <w:r w:rsidR="00BF5F66">
              <w:rPr>
                <w:rStyle w:val="Lienhypertexte"/>
                <w:caps w:val="0"/>
                <w:noProof/>
                <w:sz w:val="14"/>
                <w:szCs w:val="18"/>
              </w:rPr>
              <w:t>T</w:t>
            </w:r>
            <w:r w:rsidR="00BF5F66" w:rsidRPr="00C62FD7">
              <w:rPr>
                <w:rStyle w:val="Lienhypertexte"/>
                <w:caps w:val="0"/>
                <w:noProof/>
                <w:sz w:val="14"/>
                <w:szCs w:val="18"/>
              </w:rPr>
              <w:t>aux de penetration et densite d’assurance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_Toc327916520 \h </w:instrText>
            </w:r>
            <w:r w:rsidRPr="00C62FD7">
              <w:rPr>
                <w:noProof/>
                <w:webHidden/>
                <w:sz w:val="14"/>
                <w:szCs w:val="18"/>
              </w:rPr>
            </w:r>
            <w:r w:rsidRPr="00C62FD7">
              <w:rPr>
                <w:noProof/>
                <w:webHidden/>
                <w:sz w:val="14"/>
                <w:szCs w:val="18"/>
              </w:rPr>
              <w:fldChar w:fldCharType="separate"/>
            </w:r>
            <w:r w:rsidR="000A21C8">
              <w:rPr>
                <w:noProof/>
                <w:webHidden/>
                <w:sz w:val="14"/>
                <w:szCs w:val="18"/>
              </w:rPr>
              <w:t>32</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22" w:history="1">
            <w:r w:rsidR="006003CD" w:rsidRPr="006F5C38">
              <w:rPr>
                <w:rStyle w:val="Lienhypertexte"/>
                <w:noProof/>
                <w:sz w:val="18"/>
                <w:szCs w:val="18"/>
              </w:rPr>
              <w:t>4°Chapitre : Evaluation de la demande des agents EN 2010</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_Toc327916522 \h </w:instrText>
            </w:r>
            <w:r w:rsidRPr="006F5C38">
              <w:rPr>
                <w:noProof/>
                <w:webHidden/>
                <w:sz w:val="18"/>
                <w:szCs w:val="18"/>
              </w:rPr>
            </w:r>
            <w:r w:rsidRPr="006F5C38">
              <w:rPr>
                <w:noProof/>
                <w:webHidden/>
                <w:sz w:val="18"/>
                <w:szCs w:val="18"/>
              </w:rPr>
              <w:fldChar w:fldCharType="separate"/>
            </w:r>
            <w:r w:rsidR="000A21C8">
              <w:rPr>
                <w:noProof/>
                <w:webHidden/>
                <w:sz w:val="18"/>
                <w:szCs w:val="18"/>
              </w:rPr>
              <w:t>36</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23" w:history="1">
            <w:r w:rsidR="00BF5F66">
              <w:rPr>
                <w:rStyle w:val="Lienhypertexte"/>
                <w:caps w:val="0"/>
                <w:noProof/>
                <w:sz w:val="14"/>
                <w:szCs w:val="18"/>
              </w:rPr>
              <w:t>A</w:t>
            </w:r>
            <w:r w:rsidR="00BF5F66" w:rsidRPr="00C62FD7">
              <w:rPr>
                <w:rStyle w:val="Lienhypertexte"/>
                <w:caps w:val="0"/>
                <w:noProof/>
                <w:sz w:val="14"/>
                <w:szCs w:val="18"/>
              </w:rPr>
              <w:t>ssurance des menages et des entrepreneurs individuels</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_Toc327916523 \h </w:instrText>
            </w:r>
            <w:r w:rsidRPr="00C62FD7">
              <w:rPr>
                <w:noProof/>
                <w:webHidden/>
                <w:sz w:val="14"/>
                <w:szCs w:val="18"/>
              </w:rPr>
            </w:r>
            <w:r w:rsidRPr="00C62FD7">
              <w:rPr>
                <w:noProof/>
                <w:webHidden/>
                <w:sz w:val="14"/>
                <w:szCs w:val="18"/>
              </w:rPr>
              <w:fldChar w:fldCharType="separate"/>
            </w:r>
            <w:r w:rsidR="000A21C8">
              <w:rPr>
                <w:noProof/>
                <w:webHidden/>
                <w:sz w:val="14"/>
                <w:szCs w:val="18"/>
              </w:rPr>
              <w:t>37</w:t>
            </w:r>
            <w:r w:rsidRPr="00C62FD7">
              <w:rPr>
                <w:noProof/>
                <w:webHidden/>
                <w:sz w:val="14"/>
                <w:szCs w:val="18"/>
              </w:rPr>
              <w:fldChar w:fldCharType="end"/>
            </w:r>
          </w:hyperlink>
        </w:p>
        <w:p w:rsidR="006003CD" w:rsidRPr="00C62FD7" w:rsidRDefault="00BF5F66">
          <w:pPr>
            <w:pStyle w:val="TM1"/>
            <w:tabs>
              <w:tab w:val="right" w:leader="dot" w:pos="9628"/>
            </w:tabs>
            <w:rPr>
              <w:rFonts w:asciiTheme="minorHAnsi" w:eastAsiaTheme="minorEastAsia" w:hAnsiTheme="minorHAnsi" w:cstheme="minorBidi"/>
              <w:b w:val="0"/>
              <w:bCs w:val="0"/>
              <w:caps w:val="0"/>
              <w:noProof/>
              <w:sz w:val="16"/>
            </w:rPr>
          </w:pPr>
          <w:r>
            <w:rPr>
              <w:caps w:val="0"/>
              <w:noProof/>
              <w:sz w:val="14"/>
              <w:szCs w:val="18"/>
            </w:rPr>
            <w:t>A</w:t>
          </w:r>
          <w:hyperlink w:anchor="_Toc327916527" w:history="1">
            <w:r w:rsidRPr="00C62FD7">
              <w:rPr>
                <w:rStyle w:val="Lienhypertexte"/>
                <w:caps w:val="0"/>
                <w:noProof/>
                <w:sz w:val="14"/>
                <w:szCs w:val="18"/>
              </w:rPr>
              <w:t>ssurance des entreprises non-agricoles</w:t>
            </w:r>
            <w:r w:rsidRPr="00C62FD7">
              <w:rPr>
                <w:caps w:val="0"/>
                <w:noProof/>
                <w:webHidden/>
                <w:sz w:val="14"/>
                <w:szCs w:val="18"/>
              </w:rPr>
              <w:tab/>
            </w:r>
            <w:r w:rsidR="00013D42" w:rsidRPr="00C62FD7">
              <w:rPr>
                <w:noProof/>
                <w:webHidden/>
                <w:sz w:val="14"/>
                <w:szCs w:val="18"/>
              </w:rPr>
              <w:fldChar w:fldCharType="begin"/>
            </w:r>
            <w:r w:rsidR="006003CD" w:rsidRPr="00C62FD7">
              <w:rPr>
                <w:noProof/>
                <w:webHidden/>
                <w:sz w:val="14"/>
                <w:szCs w:val="18"/>
              </w:rPr>
              <w:instrText xml:space="preserve"> PAGEREF _Toc327916527 \h </w:instrText>
            </w:r>
            <w:r w:rsidR="00013D42" w:rsidRPr="00C62FD7">
              <w:rPr>
                <w:noProof/>
                <w:webHidden/>
                <w:sz w:val="14"/>
                <w:szCs w:val="18"/>
              </w:rPr>
            </w:r>
            <w:r w:rsidR="00013D42" w:rsidRPr="00C62FD7">
              <w:rPr>
                <w:noProof/>
                <w:webHidden/>
                <w:sz w:val="14"/>
                <w:szCs w:val="18"/>
              </w:rPr>
              <w:fldChar w:fldCharType="separate"/>
            </w:r>
            <w:r w:rsidR="000A21C8">
              <w:rPr>
                <w:noProof/>
                <w:webHidden/>
                <w:sz w:val="14"/>
                <w:szCs w:val="18"/>
              </w:rPr>
              <w:t>40</w:t>
            </w:r>
            <w:r w:rsidR="00013D42"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30" w:history="1">
            <w:r w:rsidR="00BF5F66">
              <w:rPr>
                <w:rStyle w:val="Lienhypertexte"/>
                <w:caps w:val="0"/>
                <w:noProof/>
                <w:sz w:val="14"/>
                <w:szCs w:val="18"/>
              </w:rPr>
              <w:t>A</w:t>
            </w:r>
            <w:r w:rsidR="00BF5F66" w:rsidRPr="00C62FD7">
              <w:rPr>
                <w:rStyle w:val="Lienhypertexte"/>
                <w:caps w:val="0"/>
                <w:noProof/>
                <w:sz w:val="14"/>
                <w:szCs w:val="18"/>
              </w:rPr>
              <w:t>ssurances du secteur agricole</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_Toc327916530 \h </w:instrText>
            </w:r>
            <w:r w:rsidRPr="00C62FD7">
              <w:rPr>
                <w:noProof/>
                <w:webHidden/>
                <w:sz w:val="14"/>
                <w:szCs w:val="18"/>
              </w:rPr>
            </w:r>
            <w:r w:rsidRPr="00C62FD7">
              <w:rPr>
                <w:noProof/>
                <w:webHidden/>
                <w:sz w:val="14"/>
                <w:szCs w:val="18"/>
              </w:rPr>
              <w:fldChar w:fldCharType="separate"/>
            </w:r>
            <w:r w:rsidR="000A21C8">
              <w:rPr>
                <w:noProof/>
                <w:webHidden/>
                <w:sz w:val="14"/>
                <w:szCs w:val="18"/>
              </w:rPr>
              <w:t>42</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33" w:history="1">
            <w:r w:rsidR="00BF5F66">
              <w:rPr>
                <w:rStyle w:val="Lienhypertexte"/>
                <w:caps w:val="0"/>
                <w:noProof/>
                <w:sz w:val="14"/>
                <w:szCs w:val="18"/>
              </w:rPr>
              <w:t>A</w:t>
            </w:r>
            <w:r w:rsidR="00BF5F66" w:rsidRPr="00C62FD7">
              <w:rPr>
                <w:rStyle w:val="Lienhypertexte"/>
                <w:caps w:val="0"/>
                <w:noProof/>
                <w:sz w:val="14"/>
                <w:szCs w:val="18"/>
              </w:rPr>
              <w:t>ssurance des importations</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_Toc327916533 \h </w:instrText>
            </w:r>
            <w:r w:rsidRPr="00C62FD7">
              <w:rPr>
                <w:noProof/>
                <w:webHidden/>
                <w:sz w:val="14"/>
                <w:szCs w:val="18"/>
              </w:rPr>
            </w:r>
            <w:r w:rsidRPr="00C62FD7">
              <w:rPr>
                <w:noProof/>
                <w:webHidden/>
                <w:sz w:val="14"/>
                <w:szCs w:val="18"/>
              </w:rPr>
              <w:fldChar w:fldCharType="separate"/>
            </w:r>
            <w:r w:rsidR="000A21C8">
              <w:rPr>
                <w:noProof/>
                <w:webHidden/>
                <w:sz w:val="14"/>
                <w:szCs w:val="18"/>
              </w:rPr>
              <w:t>43</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36" w:history="1">
            <w:r w:rsidR="00BF5F66">
              <w:rPr>
                <w:rStyle w:val="Lienhypertexte"/>
                <w:caps w:val="0"/>
                <w:noProof/>
                <w:sz w:val="14"/>
                <w:szCs w:val="18"/>
              </w:rPr>
              <w:t>S</w:t>
            </w:r>
            <w:r w:rsidR="00BF5F66" w:rsidRPr="00C62FD7">
              <w:rPr>
                <w:rStyle w:val="Lienhypertexte"/>
                <w:caps w:val="0"/>
                <w:noProof/>
                <w:sz w:val="14"/>
                <w:szCs w:val="18"/>
              </w:rPr>
              <w:t>ynthese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_Toc327916536 \h </w:instrText>
            </w:r>
            <w:r w:rsidRPr="00C62FD7">
              <w:rPr>
                <w:noProof/>
                <w:webHidden/>
                <w:sz w:val="14"/>
                <w:szCs w:val="18"/>
              </w:rPr>
            </w:r>
            <w:r w:rsidRPr="00C62FD7">
              <w:rPr>
                <w:noProof/>
                <w:webHidden/>
                <w:sz w:val="14"/>
                <w:szCs w:val="18"/>
              </w:rPr>
              <w:fldChar w:fldCharType="separate"/>
            </w:r>
            <w:r w:rsidR="000A21C8">
              <w:rPr>
                <w:noProof/>
                <w:webHidden/>
                <w:sz w:val="14"/>
                <w:szCs w:val="18"/>
              </w:rPr>
              <w:t>45</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37" w:history="1">
            <w:r w:rsidR="006003CD" w:rsidRPr="006F5C38">
              <w:rPr>
                <w:rStyle w:val="Lienhypertexte"/>
                <w:noProof/>
                <w:sz w:val="18"/>
                <w:szCs w:val="18"/>
              </w:rPr>
              <w:t>5° Chapitre : Analyse du service D’ASSURANCE en 2010</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_Toc327916537 \h </w:instrText>
            </w:r>
            <w:r w:rsidRPr="006F5C38">
              <w:rPr>
                <w:noProof/>
                <w:webHidden/>
                <w:sz w:val="18"/>
                <w:szCs w:val="18"/>
              </w:rPr>
            </w:r>
            <w:r w:rsidRPr="006F5C38">
              <w:rPr>
                <w:noProof/>
                <w:webHidden/>
                <w:sz w:val="18"/>
                <w:szCs w:val="18"/>
              </w:rPr>
              <w:fldChar w:fldCharType="separate"/>
            </w:r>
            <w:r w:rsidR="000A21C8">
              <w:rPr>
                <w:noProof/>
                <w:webHidden/>
                <w:sz w:val="18"/>
                <w:szCs w:val="18"/>
              </w:rPr>
              <w:t>47</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38" w:history="1">
            <w:r w:rsidR="00BF5F66">
              <w:rPr>
                <w:rStyle w:val="Lienhypertexte"/>
                <w:caps w:val="0"/>
                <w:noProof/>
                <w:sz w:val="14"/>
                <w:szCs w:val="18"/>
              </w:rPr>
              <w:t>S</w:t>
            </w:r>
            <w:r w:rsidR="00BF5F66" w:rsidRPr="00C62FD7">
              <w:rPr>
                <w:rStyle w:val="Lienhypertexte"/>
                <w:caps w:val="0"/>
                <w:noProof/>
                <w:sz w:val="14"/>
                <w:szCs w:val="18"/>
              </w:rPr>
              <w:t>inistres et indemnisations</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_Toc327916538 \h </w:instrText>
            </w:r>
            <w:r w:rsidRPr="00C62FD7">
              <w:rPr>
                <w:noProof/>
                <w:webHidden/>
                <w:sz w:val="14"/>
                <w:szCs w:val="18"/>
              </w:rPr>
            </w:r>
            <w:r w:rsidRPr="00C62FD7">
              <w:rPr>
                <w:noProof/>
                <w:webHidden/>
                <w:sz w:val="14"/>
                <w:szCs w:val="18"/>
              </w:rPr>
              <w:fldChar w:fldCharType="separate"/>
            </w:r>
            <w:r w:rsidR="000A21C8">
              <w:rPr>
                <w:noProof/>
                <w:webHidden/>
                <w:sz w:val="14"/>
                <w:szCs w:val="18"/>
              </w:rPr>
              <w:t>48</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43" w:history="1">
            <w:r w:rsidR="00BF5F66">
              <w:rPr>
                <w:rStyle w:val="Lienhypertexte"/>
                <w:caps w:val="0"/>
                <w:noProof/>
                <w:sz w:val="14"/>
                <w:szCs w:val="18"/>
              </w:rPr>
              <w:t>I</w:t>
            </w:r>
            <w:r w:rsidR="00BF5F66" w:rsidRPr="00C62FD7">
              <w:rPr>
                <w:rStyle w:val="Lienhypertexte"/>
                <w:caps w:val="0"/>
                <w:noProof/>
                <w:sz w:val="14"/>
                <w:szCs w:val="18"/>
              </w:rPr>
              <w:t>ntermediation</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_Toc327916543 \h </w:instrText>
            </w:r>
            <w:r w:rsidRPr="00C62FD7">
              <w:rPr>
                <w:noProof/>
                <w:webHidden/>
                <w:sz w:val="14"/>
                <w:szCs w:val="18"/>
              </w:rPr>
            </w:r>
            <w:r w:rsidRPr="00C62FD7">
              <w:rPr>
                <w:noProof/>
                <w:webHidden/>
                <w:sz w:val="14"/>
                <w:szCs w:val="18"/>
              </w:rPr>
              <w:fldChar w:fldCharType="separate"/>
            </w:r>
            <w:r w:rsidR="000A21C8">
              <w:rPr>
                <w:noProof/>
                <w:webHidden/>
                <w:sz w:val="14"/>
                <w:szCs w:val="18"/>
              </w:rPr>
              <w:t>53</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45" w:history="1">
            <w:r w:rsidR="00BF5F66">
              <w:rPr>
                <w:rStyle w:val="Lienhypertexte"/>
                <w:caps w:val="0"/>
                <w:noProof/>
                <w:sz w:val="14"/>
                <w:szCs w:val="18"/>
              </w:rPr>
              <w:t>R</w:t>
            </w:r>
            <w:r w:rsidR="00BF5F66" w:rsidRPr="00C62FD7">
              <w:rPr>
                <w:rStyle w:val="Lienhypertexte"/>
                <w:caps w:val="0"/>
                <w:noProof/>
                <w:sz w:val="14"/>
                <w:szCs w:val="18"/>
              </w:rPr>
              <w:t>eassurance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_Toc327916545 \h </w:instrText>
            </w:r>
            <w:r w:rsidRPr="00C62FD7">
              <w:rPr>
                <w:noProof/>
                <w:webHidden/>
                <w:sz w:val="14"/>
                <w:szCs w:val="18"/>
              </w:rPr>
            </w:r>
            <w:r w:rsidRPr="00C62FD7">
              <w:rPr>
                <w:noProof/>
                <w:webHidden/>
                <w:sz w:val="14"/>
                <w:szCs w:val="18"/>
              </w:rPr>
              <w:fldChar w:fldCharType="separate"/>
            </w:r>
            <w:r w:rsidR="000A21C8">
              <w:rPr>
                <w:noProof/>
                <w:webHidden/>
                <w:sz w:val="14"/>
                <w:szCs w:val="18"/>
              </w:rPr>
              <w:t>57</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51" w:history="1">
            <w:r w:rsidR="006003CD" w:rsidRPr="006F5C38">
              <w:rPr>
                <w:rStyle w:val="Lienhypertexte"/>
                <w:noProof/>
                <w:sz w:val="18"/>
                <w:szCs w:val="18"/>
              </w:rPr>
              <w:t>6° Chapitre : la gestion des sociétés</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_Toc327916551 \h </w:instrText>
            </w:r>
            <w:r w:rsidRPr="006F5C38">
              <w:rPr>
                <w:noProof/>
                <w:webHidden/>
                <w:sz w:val="18"/>
                <w:szCs w:val="18"/>
              </w:rPr>
            </w:r>
            <w:r w:rsidRPr="006F5C38">
              <w:rPr>
                <w:noProof/>
                <w:webHidden/>
                <w:sz w:val="18"/>
                <w:szCs w:val="18"/>
              </w:rPr>
              <w:fldChar w:fldCharType="separate"/>
            </w:r>
            <w:r w:rsidR="000A21C8">
              <w:rPr>
                <w:noProof/>
                <w:webHidden/>
                <w:sz w:val="18"/>
                <w:szCs w:val="18"/>
              </w:rPr>
              <w:t>60</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52" w:history="1">
            <w:r w:rsidR="00BF5F66">
              <w:rPr>
                <w:rStyle w:val="Lienhypertexte"/>
                <w:caps w:val="0"/>
                <w:noProof/>
                <w:sz w:val="14"/>
                <w:szCs w:val="18"/>
              </w:rPr>
              <w:t>G</w:t>
            </w:r>
            <w:r w:rsidR="00BF5F66" w:rsidRPr="00C62FD7">
              <w:rPr>
                <w:rStyle w:val="Lienhypertexte"/>
                <w:caps w:val="0"/>
                <w:noProof/>
                <w:sz w:val="14"/>
                <w:szCs w:val="18"/>
              </w:rPr>
              <w:t>estion de la tresorerie</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_Toc327916552 \h </w:instrText>
            </w:r>
            <w:r w:rsidRPr="00C62FD7">
              <w:rPr>
                <w:noProof/>
                <w:webHidden/>
                <w:sz w:val="14"/>
                <w:szCs w:val="18"/>
              </w:rPr>
            </w:r>
            <w:r w:rsidRPr="00C62FD7">
              <w:rPr>
                <w:noProof/>
                <w:webHidden/>
                <w:sz w:val="14"/>
                <w:szCs w:val="18"/>
              </w:rPr>
              <w:fldChar w:fldCharType="separate"/>
            </w:r>
            <w:r w:rsidR="000A21C8">
              <w:rPr>
                <w:noProof/>
                <w:webHidden/>
                <w:sz w:val="14"/>
                <w:szCs w:val="18"/>
              </w:rPr>
              <w:t>61</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56" w:history="1">
            <w:r w:rsidR="00BF5F66">
              <w:rPr>
                <w:rStyle w:val="Lienhypertexte"/>
                <w:caps w:val="0"/>
                <w:noProof/>
                <w:sz w:val="14"/>
                <w:szCs w:val="18"/>
              </w:rPr>
              <w:t>F</w:t>
            </w:r>
            <w:r w:rsidR="00BF5F66" w:rsidRPr="00C62FD7">
              <w:rPr>
                <w:rStyle w:val="Lienhypertexte"/>
                <w:caps w:val="0"/>
                <w:noProof/>
                <w:sz w:val="14"/>
                <w:szCs w:val="18"/>
              </w:rPr>
              <w:t>rais de gestion</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_Toc327916556 \h </w:instrText>
            </w:r>
            <w:r w:rsidRPr="00C62FD7">
              <w:rPr>
                <w:noProof/>
                <w:webHidden/>
                <w:sz w:val="14"/>
                <w:szCs w:val="18"/>
              </w:rPr>
            </w:r>
            <w:r w:rsidRPr="00C62FD7">
              <w:rPr>
                <w:noProof/>
                <w:webHidden/>
                <w:sz w:val="14"/>
                <w:szCs w:val="18"/>
              </w:rPr>
              <w:fldChar w:fldCharType="separate"/>
            </w:r>
            <w:r w:rsidR="000A21C8">
              <w:rPr>
                <w:noProof/>
                <w:webHidden/>
                <w:sz w:val="14"/>
                <w:szCs w:val="18"/>
              </w:rPr>
              <w:t>65</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58" w:history="1">
            <w:r w:rsidR="00BF5F66" w:rsidRPr="00C62FD7">
              <w:rPr>
                <w:rStyle w:val="Lienhypertexte"/>
                <w:caps w:val="0"/>
                <w:noProof/>
                <w:sz w:val="14"/>
                <w:szCs w:val="18"/>
              </w:rPr>
              <w:t>Ressources humaines</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_Toc327916558 \h </w:instrText>
            </w:r>
            <w:r w:rsidRPr="00C62FD7">
              <w:rPr>
                <w:noProof/>
                <w:webHidden/>
                <w:sz w:val="14"/>
                <w:szCs w:val="18"/>
              </w:rPr>
            </w:r>
            <w:r w:rsidRPr="00C62FD7">
              <w:rPr>
                <w:noProof/>
                <w:webHidden/>
                <w:sz w:val="14"/>
                <w:szCs w:val="18"/>
              </w:rPr>
              <w:fldChar w:fldCharType="separate"/>
            </w:r>
            <w:r w:rsidR="000A21C8">
              <w:rPr>
                <w:noProof/>
                <w:webHidden/>
                <w:sz w:val="14"/>
                <w:szCs w:val="18"/>
              </w:rPr>
              <w:t>67</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67" w:history="1">
            <w:r w:rsidR="00BF5F66">
              <w:rPr>
                <w:rStyle w:val="Lienhypertexte"/>
                <w:caps w:val="0"/>
                <w:noProof/>
                <w:sz w:val="14"/>
                <w:szCs w:val="18"/>
              </w:rPr>
              <w:t>P</w:t>
            </w:r>
            <w:r w:rsidR="00BF5F66" w:rsidRPr="00C62FD7">
              <w:rPr>
                <w:rStyle w:val="Lienhypertexte"/>
                <w:caps w:val="0"/>
                <w:noProof/>
                <w:sz w:val="14"/>
                <w:szCs w:val="18"/>
              </w:rPr>
              <w:t>esultats</w:t>
            </w:r>
            <w:r w:rsidR="006003CD" w:rsidRPr="00C62FD7">
              <w:rPr>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_Toc327916567 \h </w:instrText>
            </w:r>
            <w:r w:rsidRPr="00C62FD7">
              <w:rPr>
                <w:noProof/>
                <w:webHidden/>
                <w:sz w:val="14"/>
                <w:szCs w:val="18"/>
              </w:rPr>
            </w:r>
            <w:r w:rsidRPr="00C62FD7">
              <w:rPr>
                <w:noProof/>
                <w:webHidden/>
                <w:sz w:val="14"/>
                <w:szCs w:val="18"/>
              </w:rPr>
              <w:fldChar w:fldCharType="separate"/>
            </w:r>
            <w:r w:rsidR="000A21C8">
              <w:rPr>
                <w:noProof/>
                <w:webHidden/>
                <w:sz w:val="14"/>
                <w:szCs w:val="18"/>
              </w:rPr>
              <w:t>75</w:t>
            </w:r>
            <w:r w:rsidRPr="00C62FD7">
              <w:rPr>
                <w:noProof/>
                <w:webHidden/>
                <w:sz w:val="14"/>
                <w:szCs w:val="18"/>
              </w:rPr>
              <w:fldChar w:fldCharType="end"/>
            </w:r>
          </w:hyperlink>
        </w:p>
        <w:p w:rsidR="006003CD" w:rsidRPr="006F5C38" w:rsidRDefault="00013D42">
          <w:pPr>
            <w:pStyle w:val="TM1"/>
            <w:tabs>
              <w:tab w:val="right" w:leader="dot" w:pos="9628"/>
            </w:tabs>
            <w:rPr>
              <w:rFonts w:asciiTheme="minorHAnsi" w:eastAsiaTheme="minorEastAsia" w:hAnsiTheme="minorHAnsi" w:cstheme="minorBidi"/>
              <w:b w:val="0"/>
              <w:bCs w:val="0"/>
              <w:caps w:val="0"/>
              <w:noProof/>
            </w:rPr>
          </w:pPr>
          <w:hyperlink w:anchor="_Toc327916570" w:history="1">
            <w:r w:rsidR="006003CD" w:rsidRPr="006F5C38">
              <w:rPr>
                <w:rStyle w:val="Lienhypertexte"/>
                <w:noProof/>
                <w:sz w:val="18"/>
                <w:szCs w:val="18"/>
              </w:rPr>
              <w:t>7° Chapitre : production 2011</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_Toc327916570 \h </w:instrText>
            </w:r>
            <w:r w:rsidRPr="006F5C38">
              <w:rPr>
                <w:noProof/>
                <w:webHidden/>
                <w:sz w:val="18"/>
                <w:szCs w:val="18"/>
              </w:rPr>
            </w:r>
            <w:r w:rsidRPr="006F5C38">
              <w:rPr>
                <w:noProof/>
                <w:webHidden/>
                <w:sz w:val="18"/>
                <w:szCs w:val="18"/>
              </w:rPr>
              <w:fldChar w:fldCharType="separate"/>
            </w:r>
            <w:r w:rsidR="000A21C8">
              <w:rPr>
                <w:noProof/>
                <w:webHidden/>
                <w:sz w:val="18"/>
                <w:szCs w:val="18"/>
              </w:rPr>
              <w:t>78</w:t>
            </w:r>
            <w:r w:rsidRPr="006F5C38">
              <w:rPr>
                <w:noProof/>
                <w:webHidden/>
                <w:sz w:val="18"/>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71" w:history="1">
            <w:r w:rsidR="00BF5F66" w:rsidRPr="00C62FD7">
              <w:rPr>
                <w:rStyle w:val="Lienhypertexte"/>
                <w:caps w:val="0"/>
                <w:noProof/>
                <w:sz w:val="14"/>
                <w:szCs w:val="18"/>
              </w:rPr>
              <w:t>Evolution et structure de la production</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_Toc327916571 \h </w:instrText>
            </w:r>
            <w:r w:rsidRPr="00C62FD7">
              <w:rPr>
                <w:noProof/>
                <w:webHidden/>
                <w:sz w:val="14"/>
                <w:szCs w:val="18"/>
              </w:rPr>
            </w:r>
            <w:r w:rsidRPr="00C62FD7">
              <w:rPr>
                <w:noProof/>
                <w:webHidden/>
                <w:sz w:val="14"/>
                <w:szCs w:val="18"/>
              </w:rPr>
              <w:fldChar w:fldCharType="separate"/>
            </w:r>
            <w:r w:rsidR="000A21C8">
              <w:rPr>
                <w:noProof/>
                <w:webHidden/>
                <w:sz w:val="14"/>
                <w:szCs w:val="18"/>
              </w:rPr>
              <w:t>79</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75" w:history="1">
            <w:r w:rsidR="00BF5F66">
              <w:rPr>
                <w:rStyle w:val="Lienhypertexte"/>
                <w:caps w:val="0"/>
                <w:noProof/>
                <w:sz w:val="14"/>
                <w:szCs w:val="18"/>
              </w:rPr>
              <w:t>P</w:t>
            </w:r>
            <w:r w:rsidR="00BF5F66" w:rsidRPr="00C62FD7">
              <w:rPr>
                <w:rStyle w:val="Lienhypertexte"/>
                <w:caps w:val="0"/>
                <w:noProof/>
                <w:sz w:val="14"/>
                <w:szCs w:val="18"/>
              </w:rPr>
              <w:t>arts de marche</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_Toc327916575 \h </w:instrText>
            </w:r>
            <w:r w:rsidRPr="00C62FD7">
              <w:rPr>
                <w:noProof/>
                <w:webHidden/>
                <w:sz w:val="14"/>
                <w:szCs w:val="18"/>
              </w:rPr>
            </w:r>
            <w:r w:rsidRPr="00C62FD7">
              <w:rPr>
                <w:noProof/>
                <w:webHidden/>
                <w:sz w:val="14"/>
                <w:szCs w:val="18"/>
              </w:rPr>
              <w:fldChar w:fldCharType="separate"/>
            </w:r>
            <w:r w:rsidR="000A21C8">
              <w:rPr>
                <w:noProof/>
                <w:webHidden/>
                <w:sz w:val="14"/>
                <w:szCs w:val="18"/>
              </w:rPr>
              <w:t>83</w:t>
            </w:r>
            <w:r w:rsidRPr="00C62FD7">
              <w:rPr>
                <w:noProof/>
                <w:webHidden/>
                <w:sz w:val="14"/>
                <w:szCs w:val="18"/>
              </w:rPr>
              <w:fldChar w:fldCharType="end"/>
            </w:r>
          </w:hyperlink>
        </w:p>
        <w:p w:rsidR="006003CD" w:rsidRPr="00C62FD7" w:rsidRDefault="00013D42">
          <w:pPr>
            <w:pStyle w:val="TM1"/>
            <w:tabs>
              <w:tab w:val="right" w:leader="dot" w:pos="9628"/>
            </w:tabs>
            <w:rPr>
              <w:rFonts w:asciiTheme="minorHAnsi" w:eastAsiaTheme="minorEastAsia" w:hAnsiTheme="minorHAnsi" w:cstheme="minorBidi"/>
              <w:b w:val="0"/>
              <w:bCs w:val="0"/>
              <w:caps w:val="0"/>
              <w:noProof/>
              <w:sz w:val="16"/>
            </w:rPr>
          </w:pPr>
          <w:hyperlink w:anchor="_Toc327916576" w:history="1">
            <w:r w:rsidR="00BF5F66">
              <w:rPr>
                <w:rStyle w:val="Lienhypertexte"/>
                <w:caps w:val="0"/>
                <w:noProof/>
                <w:sz w:val="14"/>
                <w:szCs w:val="18"/>
              </w:rPr>
              <w:t>P</w:t>
            </w:r>
            <w:r w:rsidR="00BF5F66" w:rsidRPr="00C62FD7">
              <w:rPr>
                <w:rStyle w:val="Lienhypertexte"/>
                <w:caps w:val="0"/>
                <w:noProof/>
                <w:sz w:val="14"/>
                <w:szCs w:val="18"/>
              </w:rPr>
              <w:t>osition macroeconomique du secteur</w:t>
            </w:r>
            <w:r w:rsidR="00BF5F66" w:rsidRPr="00C62FD7">
              <w:rPr>
                <w:caps w:val="0"/>
                <w:noProof/>
                <w:webHidden/>
                <w:sz w:val="14"/>
                <w:szCs w:val="18"/>
              </w:rPr>
              <w:tab/>
            </w:r>
            <w:r w:rsidRPr="00C62FD7">
              <w:rPr>
                <w:noProof/>
                <w:webHidden/>
                <w:sz w:val="14"/>
                <w:szCs w:val="18"/>
              </w:rPr>
              <w:fldChar w:fldCharType="begin"/>
            </w:r>
            <w:r w:rsidR="006003CD" w:rsidRPr="00C62FD7">
              <w:rPr>
                <w:noProof/>
                <w:webHidden/>
                <w:sz w:val="14"/>
                <w:szCs w:val="18"/>
              </w:rPr>
              <w:instrText xml:space="preserve"> PAGEREF _Toc327916576 \h </w:instrText>
            </w:r>
            <w:r w:rsidRPr="00C62FD7">
              <w:rPr>
                <w:noProof/>
                <w:webHidden/>
                <w:sz w:val="14"/>
                <w:szCs w:val="18"/>
              </w:rPr>
            </w:r>
            <w:r w:rsidRPr="00C62FD7">
              <w:rPr>
                <w:noProof/>
                <w:webHidden/>
                <w:sz w:val="14"/>
                <w:szCs w:val="18"/>
              </w:rPr>
              <w:fldChar w:fldCharType="separate"/>
            </w:r>
            <w:r w:rsidR="000A21C8">
              <w:rPr>
                <w:noProof/>
                <w:webHidden/>
                <w:sz w:val="14"/>
                <w:szCs w:val="18"/>
              </w:rPr>
              <w:t>85</w:t>
            </w:r>
            <w:r w:rsidRPr="00C62FD7">
              <w:rPr>
                <w:noProof/>
                <w:webHidden/>
                <w:sz w:val="14"/>
                <w:szCs w:val="18"/>
              </w:rPr>
              <w:fldChar w:fldCharType="end"/>
            </w:r>
          </w:hyperlink>
        </w:p>
        <w:p w:rsidR="006003CD" w:rsidRDefault="00013D42">
          <w:pPr>
            <w:pStyle w:val="TM1"/>
            <w:tabs>
              <w:tab w:val="right" w:leader="dot" w:pos="9628"/>
            </w:tabs>
            <w:rPr>
              <w:noProof/>
            </w:rPr>
          </w:pPr>
          <w:hyperlink w:anchor="_Toc327916579" w:history="1">
            <w:r w:rsidR="006003CD" w:rsidRPr="006F5C38">
              <w:rPr>
                <w:rStyle w:val="Lienhypertexte"/>
                <w:noProof/>
                <w:sz w:val="18"/>
                <w:szCs w:val="18"/>
              </w:rPr>
              <w:t>Glossaire :</w:t>
            </w:r>
            <w:r w:rsidR="006003CD" w:rsidRPr="006F5C38">
              <w:rPr>
                <w:noProof/>
                <w:webHidden/>
                <w:sz w:val="18"/>
                <w:szCs w:val="18"/>
              </w:rPr>
              <w:tab/>
            </w:r>
            <w:r w:rsidRPr="006F5C38">
              <w:rPr>
                <w:noProof/>
                <w:webHidden/>
                <w:sz w:val="18"/>
                <w:szCs w:val="18"/>
              </w:rPr>
              <w:fldChar w:fldCharType="begin"/>
            </w:r>
            <w:r w:rsidR="006003CD" w:rsidRPr="006F5C38">
              <w:rPr>
                <w:noProof/>
                <w:webHidden/>
                <w:sz w:val="18"/>
                <w:szCs w:val="18"/>
              </w:rPr>
              <w:instrText xml:space="preserve"> PAGEREF _Toc327916579 \h </w:instrText>
            </w:r>
            <w:r w:rsidRPr="006F5C38">
              <w:rPr>
                <w:noProof/>
                <w:webHidden/>
                <w:sz w:val="18"/>
                <w:szCs w:val="18"/>
              </w:rPr>
            </w:r>
            <w:r w:rsidRPr="006F5C38">
              <w:rPr>
                <w:noProof/>
                <w:webHidden/>
                <w:sz w:val="18"/>
                <w:szCs w:val="18"/>
              </w:rPr>
              <w:fldChar w:fldCharType="separate"/>
            </w:r>
            <w:r w:rsidR="000A21C8">
              <w:rPr>
                <w:noProof/>
                <w:webHidden/>
                <w:sz w:val="18"/>
                <w:szCs w:val="18"/>
              </w:rPr>
              <w:t>87</w:t>
            </w:r>
            <w:r w:rsidRPr="006F5C38">
              <w:rPr>
                <w:noProof/>
                <w:webHidden/>
                <w:sz w:val="18"/>
                <w:szCs w:val="18"/>
              </w:rPr>
              <w:fldChar w:fldCharType="end"/>
            </w:r>
          </w:hyperlink>
        </w:p>
        <w:p w:rsidR="003B4DC9" w:rsidRDefault="003B4DC9" w:rsidP="003B4DC9">
          <w:pPr>
            <w:rPr>
              <w:rFonts w:eastAsiaTheme="minorEastAsia"/>
              <w:noProof/>
            </w:rPr>
          </w:pPr>
        </w:p>
        <w:p w:rsidR="003B4DC9" w:rsidRDefault="003B4DC9" w:rsidP="003B4DC9">
          <w:pPr>
            <w:rPr>
              <w:rFonts w:eastAsiaTheme="minorEastAsia"/>
              <w:noProof/>
            </w:rPr>
          </w:pPr>
        </w:p>
        <w:p w:rsidR="003B4DC9" w:rsidRPr="003B4DC9" w:rsidRDefault="003B4DC9" w:rsidP="003B4DC9">
          <w:pPr>
            <w:rPr>
              <w:rFonts w:eastAsiaTheme="minorEastAsia"/>
              <w:noProof/>
            </w:rPr>
          </w:pPr>
        </w:p>
        <w:p w:rsidR="009253CC" w:rsidRDefault="00013D42">
          <w:r w:rsidRPr="006F5C38">
            <w:rPr>
              <w:sz w:val="20"/>
              <w:szCs w:val="20"/>
            </w:rPr>
            <w:fldChar w:fldCharType="end"/>
          </w:r>
        </w:p>
      </w:sdtContent>
    </w:sdt>
    <w:tbl>
      <w:tblPr>
        <w:tblW w:w="0" w:type="auto"/>
        <w:jc w:val="center"/>
        <w:tblCellMar>
          <w:left w:w="70" w:type="dxa"/>
          <w:right w:w="70" w:type="dxa"/>
        </w:tblCellMar>
        <w:tblLook w:val="0000"/>
      </w:tblPr>
      <w:tblGrid>
        <w:gridCol w:w="867"/>
        <w:gridCol w:w="6973"/>
        <w:gridCol w:w="1034"/>
      </w:tblGrid>
      <w:tr w:rsidR="00E47D96" w:rsidRPr="008D2996">
        <w:trPr>
          <w:jc w:val="center"/>
        </w:trPr>
        <w:tc>
          <w:tcPr>
            <w:tcW w:w="867" w:type="dxa"/>
          </w:tcPr>
          <w:p w:rsidR="00E47D96" w:rsidRDefault="00E47D96" w:rsidP="00425A69">
            <w:pPr>
              <w:spacing w:after="0" w:line="240" w:lineRule="auto"/>
              <w:jc w:val="left"/>
              <w:rPr>
                <w:color w:val="000000"/>
                <w:sz w:val="14"/>
                <w:szCs w:val="14"/>
                <w:highlight w:val="yellow"/>
              </w:rPr>
            </w:pPr>
          </w:p>
          <w:p w:rsidR="003B4DC9" w:rsidRPr="008D2996" w:rsidRDefault="003B4DC9" w:rsidP="00425A69">
            <w:pPr>
              <w:spacing w:after="0" w:line="240" w:lineRule="auto"/>
              <w:jc w:val="left"/>
              <w:rPr>
                <w:color w:val="000000"/>
                <w:sz w:val="14"/>
                <w:szCs w:val="14"/>
                <w:highlight w:val="yellow"/>
              </w:rPr>
            </w:pPr>
          </w:p>
        </w:tc>
        <w:tc>
          <w:tcPr>
            <w:tcW w:w="6973" w:type="dxa"/>
          </w:tcPr>
          <w:p w:rsidR="00E47D96" w:rsidRPr="008D2996" w:rsidRDefault="00E47D96" w:rsidP="00A84752">
            <w:pPr>
              <w:tabs>
                <w:tab w:val="right" w:leader="dot" w:pos="6975"/>
              </w:tabs>
              <w:spacing w:before="20" w:after="20" w:line="240" w:lineRule="auto"/>
              <w:jc w:val="left"/>
              <w:rPr>
                <w:color w:val="000000"/>
                <w:sz w:val="14"/>
                <w:szCs w:val="14"/>
                <w:highlight w:val="yellow"/>
              </w:rPr>
            </w:pPr>
          </w:p>
        </w:tc>
        <w:tc>
          <w:tcPr>
            <w:tcW w:w="1034" w:type="dxa"/>
            <w:vAlign w:val="center"/>
          </w:tcPr>
          <w:p w:rsidR="00E47D96" w:rsidRPr="008D2996" w:rsidRDefault="00E47D96" w:rsidP="00A84752">
            <w:pPr>
              <w:spacing w:before="20" w:after="20" w:line="240" w:lineRule="auto"/>
              <w:jc w:val="left"/>
              <w:rPr>
                <w:color w:val="000000"/>
                <w:sz w:val="14"/>
                <w:szCs w:val="14"/>
                <w:highlight w:val="yellow"/>
              </w:rPr>
            </w:pPr>
          </w:p>
        </w:tc>
      </w:tr>
      <w:tr w:rsidR="00E47D96" w:rsidRPr="008D2996">
        <w:trPr>
          <w:jc w:val="center"/>
        </w:trPr>
        <w:tc>
          <w:tcPr>
            <w:tcW w:w="867" w:type="dxa"/>
          </w:tcPr>
          <w:p w:rsidR="00E47D96" w:rsidRPr="008D2996" w:rsidRDefault="00E47D96" w:rsidP="00A84752">
            <w:pPr>
              <w:spacing w:before="20" w:after="20" w:line="240" w:lineRule="auto"/>
              <w:jc w:val="center"/>
              <w:rPr>
                <w:color w:val="000000"/>
                <w:sz w:val="14"/>
                <w:szCs w:val="14"/>
                <w:highlight w:val="yellow"/>
              </w:rPr>
            </w:pPr>
          </w:p>
        </w:tc>
        <w:tc>
          <w:tcPr>
            <w:tcW w:w="6973" w:type="dxa"/>
          </w:tcPr>
          <w:p w:rsidR="00E47D96" w:rsidRPr="008D2996" w:rsidRDefault="00E47D96" w:rsidP="00A84752">
            <w:pPr>
              <w:tabs>
                <w:tab w:val="right" w:leader="dot" w:pos="6975"/>
              </w:tabs>
              <w:spacing w:before="20" w:after="20" w:line="240" w:lineRule="auto"/>
              <w:jc w:val="left"/>
              <w:rPr>
                <w:color w:val="000000"/>
                <w:sz w:val="14"/>
                <w:szCs w:val="14"/>
                <w:highlight w:val="yellow"/>
              </w:rPr>
            </w:pPr>
          </w:p>
        </w:tc>
        <w:tc>
          <w:tcPr>
            <w:tcW w:w="1034" w:type="dxa"/>
            <w:vAlign w:val="center"/>
          </w:tcPr>
          <w:p w:rsidR="00E47D96" w:rsidRPr="008D2996" w:rsidRDefault="00E47D96" w:rsidP="00A84752">
            <w:pPr>
              <w:spacing w:before="20" w:after="20" w:line="240" w:lineRule="auto"/>
              <w:jc w:val="left"/>
              <w:rPr>
                <w:color w:val="000000"/>
                <w:sz w:val="14"/>
                <w:szCs w:val="14"/>
                <w:highlight w:val="yellow"/>
              </w:rPr>
            </w:pPr>
          </w:p>
        </w:tc>
      </w:tr>
      <w:tr w:rsidR="00E47D96" w:rsidRPr="008D2996">
        <w:trPr>
          <w:jc w:val="center"/>
        </w:trPr>
        <w:tc>
          <w:tcPr>
            <w:tcW w:w="867" w:type="dxa"/>
          </w:tcPr>
          <w:p w:rsidR="00E47D96" w:rsidRPr="008D2996" w:rsidRDefault="00E47D96" w:rsidP="00A84752">
            <w:pPr>
              <w:spacing w:before="20" w:after="20" w:line="240" w:lineRule="auto"/>
              <w:jc w:val="center"/>
              <w:rPr>
                <w:color w:val="000000"/>
                <w:sz w:val="14"/>
                <w:szCs w:val="14"/>
                <w:highlight w:val="yellow"/>
              </w:rPr>
            </w:pPr>
          </w:p>
        </w:tc>
        <w:tc>
          <w:tcPr>
            <w:tcW w:w="6973" w:type="dxa"/>
          </w:tcPr>
          <w:p w:rsidR="00E47D96" w:rsidRPr="008D2996" w:rsidRDefault="00E47D96" w:rsidP="00A84752">
            <w:pPr>
              <w:tabs>
                <w:tab w:val="right" w:leader="dot" w:pos="6975"/>
              </w:tabs>
              <w:spacing w:before="20" w:after="20" w:line="240" w:lineRule="auto"/>
              <w:jc w:val="left"/>
              <w:rPr>
                <w:color w:val="000000"/>
                <w:sz w:val="14"/>
                <w:szCs w:val="14"/>
                <w:highlight w:val="yellow"/>
              </w:rPr>
            </w:pPr>
          </w:p>
        </w:tc>
        <w:tc>
          <w:tcPr>
            <w:tcW w:w="1034" w:type="dxa"/>
            <w:vAlign w:val="center"/>
          </w:tcPr>
          <w:p w:rsidR="00E47D96" w:rsidRPr="008D2996" w:rsidRDefault="00E47D96" w:rsidP="00A84752">
            <w:pPr>
              <w:spacing w:before="20" w:after="20" w:line="240" w:lineRule="auto"/>
              <w:jc w:val="left"/>
              <w:rPr>
                <w:color w:val="000000"/>
                <w:sz w:val="14"/>
                <w:szCs w:val="14"/>
                <w:highlight w:val="yellow"/>
              </w:rPr>
            </w:pPr>
          </w:p>
        </w:tc>
      </w:tr>
    </w:tbl>
    <w:p w:rsidR="00E47D96" w:rsidRPr="001F1691" w:rsidRDefault="00E74A46" w:rsidP="00425A69">
      <w:pPr>
        <w:spacing w:after="0" w:line="240" w:lineRule="auto"/>
        <w:rPr>
          <w:color w:val="000000"/>
        </w:rPr>
      </w:pPr>
      <w:r w:rsidRPr="001F1691">
        <w:rPr>
          <w:color w:val="000000"/>
        </w:rPr>
        <w:t>Liste des tableaux :</w:t>
      </w:r>
    </w:p>
    <w:tbl>
      <w:tblPr>
        <w:tblW w:w="0" w:type="auto"/>
        <w:jc w:val="center"/>
        <w:tblCellMar>
          <w:left w:w="70" w:type="dxa"/>
          <w:right w:w="70" w:type="dxa"/>
        </w:tblCellMar>
        <w:tblLook w:val="0000"/>
      </w:tblPr>
      <w:tblGrid>
        <w:gridCol w:w="926"/>
        <w:gridCol w:w="7018"/>
        <w:gridCol w:w="952"/>
      </w:tblGrid>
      <w:tr w:rsidR="00E47D96" w:rsidRPr="001F1691" w:rsidTr="00143725">
        <w:trPr>
          <w:trHeight w:val="315"/>
          <w:jc w:val="center"/>
        </w:trPr>
        <w:tc>
          <w:tcPr>
            <w:tcW w:w="926" w:type="dxa"/>
            <w:vAlign w:val="center"/>
          </w:tcPr>
          <w:p w:rsidR="00E47D96" w:rsidRPr="001F1691" w:rsidRDefault="00E74A46" w:rsidP="00D92B21">
            <w:pPr>
              <w:spacing w:before="20" w:after="20" w:line="240" w:lineRule="auto"/>
              <w:jc w:val="center"/>
              <w:rPr>
                <w:color w:val="000000"/>
                <w:sz w:val="16"/>
                <w:szCs w:val="16"/>
              </w:rPr>
            </w:pPr>
            <w:r w:rsidRPr="001F1691">
              <w:rPr>
                <w:color w:val="000000"/>
                <w:sz w:val="16"/>
                <w:szCs w:val="16"/>
              </w:rPr>
              <w:t>N°</w:t>
            </w:r>
          </w:p>
        </w:tc>
        <w:tc>
          <w:tcPr>
            <w:tcW w:w="7018" w:type="dxa"/>
            <w:vAlign w:val="center"/>
          </w:tcPr>
          <w:p w:rsidR="00E47D96" w:rsidRPr="001F1691" w:rsidRDefault="00E74A46" w:rsidP="00D92B21">
            <w:pPr>
              <w:spacing w:before="20" w:after="20" w:line="240" w:lineRule="auto"/>
              <w:rPr>
                <w:color w:val="000000"/>
                <w:sz w:val="16"/>
                <w:szCs w:val="16"/>
              </w:rPr>
            </w:pPr>
            <w:r w:rsidRPr="001F1691">
              <w:rPr>
                <w:color w:val="000000"/>
                <w:sz w:val="16"/>
                <w:szCs w:val="16"/>
              </w:rPr>
              <w:t>Intitulé du tableau</w:t>
            </w:r>
          </w:p>
        </w:tc>
        <w:tc>
          <w:tcPr>
            <w:tcW w:w="952" w:type="dxa"/>
            <w:vAlign w:val="center"/>
          </w:tcPr>
          <w:p w:rsidR="00E47D96" w:rsidRPr="001F1691" w:rsidRDefault="00E74A46" w:rsidP="00D92B21">
            <w:pPr>
              <w:spacing w:before="20" w:after="20" w:line="240" w:lineRule="auto"/>
              <w:jc w:val="left"/>
              <w:rPr>
                <w:color w:val="000000"/>
                <w:sz w:val="16"/>
                <w:szCs w:val="16"/>
              </w:rPr>
            </w:pPr>
            <w:r w:rsidRPr="001F1691">
              <w:rPr>
                <w:color w:val="000000"/>
                <w:sz w:val="16"/>
                <w:szCs w:val="16"/>
              </w:rPr>
              <w:t>N° de page</w:t>
            </w:r>
          </w:p>
        </w:tc>
      </w:tr>
      <w:tr w:rsidR="00E47D96" w:rsidRPr="001F1691" w:rsidTr="00143725">
        <w:trPr>
          <w:trHeight w:val="210"/>
          <w:jc w:val="center"/>
        </w:trPr>
        <w:tc>
          <w:tcPr>
            <w:tcW w:w="926" w:type="dxa"/>
            <w:vAlign w:val="center"/>
          </w:tcPr>
          <w:p w:rsidR="001317B1" w:rsidRPr="001F1691" w:rsidRDefault="00B9518F" w:rsidP="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.01</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Evolution de la production  200</w:t>
            </w:r>
            <w:r w:rsidR="00374CDF">
              <w:rPr>
                <w:color w:val="000000"/>
                <w:sz w:val="14"/>
                <w:szCs w:val="14"/>
              </w:rPr>
              <w:t>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E47D96" w:rsidRPr="001F1691" w:rsidRDefault="00E74A46" w:rsidP="001F1691">
            <w:pPr>
              <w:spacing w:before="20" w:after="20" w:line="240" w:lineRule="auto"/>
              <w:jc w:val="left"/>
              <w:rPr>
                <w:color w:val="000000"/>
                <w:sz w:val="14"/>
                <w:szCs w:val="14"/>
              </w:rPr>
            </w:pPr>
            <w:r w:rsidRPr="001F1691">
              <w:rPr>
                <w:color w:val="000000"/>
                <w:sz w:val="14"/>
                <w:szCs w:val="14"/>
              </w:rPr>
              <w:t>2</w:t>
            </w:r>
            <w:r w:rsidR="001F1691">
              <w:rPr>
                <w:color w:val="000000"/>
                <w:sz w:val="14"/>
                <w:szCs w:val="14"/>
              </w:rPr>
              <w:t>5</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.02</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Production additionnelle par branche en 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F14AA9" w:rsidRPr="001F1691" w:rsidRDefault="00E74A46" w:rsidP="00F23346">
            <w:pPr>
              <w:spacing w:before="20" w:after="20" w:line="240" w:lineRule="auto"/>
              <w:jc w:val="left"/>
              <w:rPr>
                <w:color w:val="000000"/>
                <w:sz w:val="14"/>
                <w:szCs w:val="14"/>
              </w:rPr>
            </w:pPr>
            <w:r w:rsidRPr="001F1691">
              <w:rPr>
                <w:color w:val="000000"/>
                <w:sz w:val="14"/>
                <w:szCs w:val="14"/>
              </w:rPr>
              <w:t>2</w:t>
            </w:r>
            <w:r w:rsidR="00F23346">
              <w:rPr>
                <w:color w:val="000000"/>
                <w:sz w:val="14"/>
                <w:szCs w:val="14"/>
              </w:rPr>
              <w:t>7</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.02 bis</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Contribution à</w:t>
            </w:r>
            <w:r w:rsidR="00374CDF">
              <w:rPr>
                <w:color w:val="000000"/>
                <w:sz w:val="14"/>
                <w:szCs w:val="14"/>
              </w:rPr>
              <w:t xml:space="preserve"> la production additionnelle 2010</w:t>
            </w:r>
            <w:r w:rsidRPr="001F1691">
              <w:rPr>
                <w:color w:val="000000"/>
                <w:sz w:val="14"/>
                <w:szCs w:val="14"/>
              </w:rPr>
              <w:t xml:space="preserve"> par compagnie </w:t>
            </w:r>
            <w:r w:rsidRPr="001F1691">
              <w:rPr>
                <w:color w:val="000000"/>
                <w:sz w:val="14"/>
                <w:szCs w:val="14"/>
              </w:rPr>
              <w:tab/>
            </w:r>
          </w:p>
        </w:tc>
        <w:tc>
          <w:tcPr>
            <w:tcW w:w="952" w:type="dxa"/>
            <w:vAlign w:val="center"/>
          </w:tcPr>
          <w:p w:rsidR="00F14AA9" w:rsidRPr="001F1691" w:rsidRDefault="00E74A46" w:rsidP="001F1691">
            <w:pPr>
              <w:spacing w:before="20" w:after="20" w:line="240" w:lineRule="auto"/>
              <w:jc w:val="left"/>
              <w:rPr>
                <w:color w:val="000000"/>
                <w:sz w:val="14"/>
                <w:szCs w:val="14"/>
              </w:rPr>
            </w:pPr>
            <w:r w:rsidRPr="001F1691">
              <w:rPr>
                <w:color w:val="000000"/>
                <w:sz w:val="14"/>
                <w:szCs w:val="14"/>
              </w:rPr>
              <w:t>2</w:t>
            </w:r>
            <w:r w:rsidR="001F1691">
              <w:rPr>
                <w:color w:val="000000"/>
                <w:sz w:val="14"/>
                <w:szCs w:val="14"/>
              </w:rPr>
              <w:t>8</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.04</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Parts de marché des entreprises d'assurances 200</w:t>
            </w:r>
            <w:r w:rsidR="00374CDF">
              <w:rPr>
                <w:color w:val="000000"/>
                <w:sz w:val="14"/>
                <w:szCs w:val="14"/>
              </w:rPr>
              <w:t>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F14AA9" w:rsidRPr="001F1691" w:rsidRDefault="00E74A46" w:rsidP="001F1691">
            <w:pPr>
              <w:spacing w:before="20" w:after="20" w:line="240" w:lineRule="auto"/>
              <w:jc w:val="left"/>
              <w:rPr>
                <w:color w:val="000000"/>
                <w:sz w:val="14"/>
                <w:szCs w:val="14"/>
              </w:rPr>
            </w:pPr>
            <w:r w:rsidRPr="001F1691">
              <w:rPr>
                <w:color w:val="000000"/>
                <w:sz w:val="14"/>
                <w:szCs w:val="14"/>
              </w:rPr>
              <w:t>2</w:t>
            </w:r>
            <w:r w:rsidR="001F1691">
              <w:rPr>
                <w:color w:val="000000"/>
                <w:sz w:val="14"/>
                <w:szCs w:val="14"/>
              </w:rPr>
              <w:t>9</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.05</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Taux de</w:t>
            </w:r>
            <w:r w:rsidR="00374CDF">
              <w:rPr>
                <w:color w:val="000000"/>
                <w:sz w:val="14"/>
                <w:szCs w:val="14"/>
              </w:rPr>
              <w:t xml:space="preserve"> pénétration de l’assurance 2009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E47D96" w:rsidRPr="001F1691" w:rsidRDefault="001F1691" w:rsidP="001F1691">
            <w:pPr>
              <w:spacing w:before="20" w:after="20" w:line="240" w:lineRule="auto"/>
              <w:jc w:val="left"/>
              <w:rPr>
                <w:sz w:val="14"/>
                <w:szCs w:val="14"/>
              </w:rPr>
            </w:pPr>
            <w:r>
              <w:rPr>
                <w:sz w:val="14"/>
                <w:szCs w:val="14"/>
              </w:rPr>
              <w:t>31</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.06</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Comparaison des taux de péné</w:t>
            </w:r>
            <w:r w:rsidR="00374CDF">
              <w:rPr>
                <w:color w:val="000000"/>
                <w:sz w:val="14"/>
                <w:szCs w:val="14"/>
              </w:rPr>
              <w:t>tration des pays du Maghreb 2009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E47D96" w:rsidRPr="001F1691" w:rsidRDefault="00E74A46" w:rsidP="001F1691">
            <w:pPr>
              <w:spacing w:before="20" w:after="20" w:line="240" w:lineRule="auto"/>
              <w:jc w:val="left"/>
              <w:rPr>
                <w:sz w:val="14"/>
                <w:szCs w:val="14"/>
              </w:rPr>
            </w:pPr>
            <w:r w:rsidRPr="001F1691">
              <w:rPr>
                <w:sz w:val="14"/>
                <w:szCs w:val="14"/>
              </w:rPr>
              <w:t>3</w:t>
            </w:r>
            <w:r w:rsidR="001F1691">
              <w:rPr>
                <w:sz w:val="14"/>
                <w:szCs w:val="14"/>
              </w:rPr>
              <w:t>3</w:t>
            </w:r>
          </w:p>
        </w:tc>
      </w:tr>
      <w:tr w:rsidR="00E47D96" w:rsidRPr="001F1691" w:rsidTr="00143725">
        <w:trPr>
          <w:trHeight w:val="228"/>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.07</w:t>
            </w:r>
          </w:p>
        </w:tc>
        <w:tc>
          <w:tcPr>
            <w:tcW w:w="7018" w:type="dxa"/>
          </w:tcPr>
          <w:p w:rsidR="001317B1" w:rsidRPr="001F1691" w:rsidRDefault="00374CDF">
            <w:pPr>
              <w:tabs>
                <w:tab w:val="right" w:leader="dot" w:pos="6975"/>
              </w:tabs>
              <w:spacing w:before="20" w:after="20" w:line="240" w:lineRule="auto"/>
              <w:jc w:val="left"/>
              <w:rPr>
                <w:color w:val="000000"/>
                <w:sz w:val="14"/>
                <w:szCs w:val="14"/>
              </w:rPr>
            </w:pPr>
            <w:r>
              <w:rPr>
                <w:color w:val="000000"/>
                <w:sz w:val="14"/>
                <w:szCs w:val="14"/>
              </w:rPr>
              <w:t>Densité de l’assurance 2009-2010</w:t>
            </w:r>
            <w:r w:rsidR="00E74A46" w:rsidRPr="001F1691">
              <w:rPr>
                <w:color w:val="000000"/>
                <w:sz w:val="14"/>
                <w:szCs w:val="14"/>
              </w:rPr>
              <w:t>.</w:t>
            </w:r>
            <w:r w:rsidR="00E74A46" w:rsidRPr="001F1691">
              <w:rPr>
                <w:color w:val="000000"/>
                <w:sz w:val="14"/>
                <w:szCs w:val="14"/>
              </w:rPr>
              <w:tab/>
            </w:r>
          </w:p>
        </w:tc>
        <w:tc>
          <w:tcPr>
            <w:tcW w:w="952" w:type="dxa"/>
            <w:vAlign w:val="center"/>
          </w:tcPr>
          <w:p w:rsidR="00E47D96" w:rsidRPr="001F1691" w:rsidRDefault="00E74A46" w:rsidP="001F1691">
            <w:pPr>
              <w:spacing w:before="20" w:after="20" w:line="240" w:lineRule="auto"/>
              <w:jc w:val="left"/>
              <w:rPr>
                <w:sz w:val="14"/>
                <w:szCs w:val="14"/>
              </w:rPr>
            </w:pPr>
            <w:r w:rsidRPr="001F1691">
              <w:rPr>
                <w:sz w:val="14"/>
                <w:szCs w:val="14"/>
              </w:rPr>
              <w:t>3</w:t>
            </w:r>
            <w:r w:rsidR="001F1691">
              <w:rPr>
                <w:sz w:val="14"/>
                <w:szCs w:val="14"/>
              </w:rPr>
              <w:t>3</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.08</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Structure</w:t>
            </w:r>
            <w:r w:rsidR="00374CDF">
              <w:rPr>
                <w:sz w:val="14"/>
                <w:szCs w:val="14"/>
              </w:rPr>
              <w:t xml:space="preserve"> des assurances des ménages 2009</w:t>
            </w:r>
            <w:r w:rsidRPr="001F1691">
              <w:rPr>
                <w:sz w:val="14"/>
                <w:szCs w:val="14"/>
              </w:rPr>
              <w:t>-20</w:t>
            </w:r>
            <w:r w:rsidR="00374CDF">
              <w:rPr>
                <w:sz w:val="14"/>
                <w:szCs w:val="14"/>
              </w:rPr>
              <w:t>10</w:t>
            </w:r>
            <w:r w:rsidRPr="001F1691">
              <w:rPr>
                <w:sz w:val="14"/>
                <w:szCs w:val="14"/>
              </w:rPr>
              <w:tab/>
            </w:r>
          </w:p>
        </w:tc>
        <w:tc>
          <w:tcPr>
            <w:tcW w:w="952" w:type="dxa"/>
            <w:vAlign w:val="center"/>
          </w:tcPr>
          <w:p w:rsidR="00E47D96" w:rsidRPr="001F1691" w:rsidRDefault="00E74A46" w:rsidP="00F23346">
            <w:pPr>
              <w:spacing w:before="20" w:after="20" w:line="240" w:lineRule="auto"/>
              <w:jc w:val="left"/>
              <w:rPr>
                <w:sz w:val="14"/>
                <w:szCs w:val="14"/>
              </w:rPr>
            </w:pPr>
            <w:r w:rsidRPr="001F1691">
              <w:rPr>
                <w:sz w:val="14"/>
                <w:szCs w:val="14"/>
              </w:rPr>
              <w:t>3</w:t>
            </w:r>
            <w:r w:rsidR="00F23346">
              <w:rPr>
                <w:sz w:val="14"/>
                <w:szCs w:val="14"/>
              </w:rPr>
              <w:t>4</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.09</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Evolution</w:t>
            </w:r>
            <w:r w:rsidR="00374CDF">
              <w:rPr>
                <w:color w:val="000000"/>
                <w:sz w:val="14"/>
                <w:szCs w:val="14"/>
              </w:rPr>
              <w:t xml:space="preserve"> des assurances des ménages 2009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3</w:t>
            </w:r>
            <w:r w:rsidR="00F23346">
              <w:rPr>
                <w:sz w:val="14"/>
                <w:szCs w:val="14"/>
              </w:rPr>
              <w:t>8</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.10</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Taux de pénétration des assurances des ménages 20</w:t>
            </w:r>
            <w:r w:rsidR="00374CDF">
              <w:rPr>
                <w:color w:val="000000"/>
                <w:sz w:val="14"/>
                <w:szCs w:val="14"/>
              </w:rPr>
              <w:t>09</w:t>
            </w:r>
            <w:r w:rsidRPr="001F1691">
              <w:rPr>
                <w:color w:val="000000"/>
                <w:sz w:val="14"/>
                <w:szCs w:val="14"/>
              </w:rPr>
              <w:t>-20</w:t>
            </w:r>
            <w:r w:rsidR="00374CDF">
              <w:rPr>
                <w:color w:val="000000"/>
                <w:sz w:val="14"/>
                <w:szCs w:val="14"/>
              </w:rPr>
              <w:t>10</w:t>
            </w:r>
            <w:r w:rsidRPr="001F1691">
              <w:rPr>
                <w:color w:val="000000"/>
                <w:sz w:val="14"/>
                <w:szCs w:val="14"/>
              </w:rPr>
              <w:t>.</w:t>
            </w:r>
            <w:r w:rsidRPr="001F1691">
              <w:rPr>
                <w:color w:val="000000"/>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3</w:t>
            </w:r>
            <w:r w:rsidR="001F1691">
              <w:rPr>
                <w:sz w:val="14"/>
                <w:szCs w:val="14"/>
              </w:rPr>
              <w:t>9</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.11</w:t>
            </w:r>
          </w:p>
        </w:tc>
        <w:tc>
          <w:tcPr>
            <w:tcW w:w="7018" w:type="dxa"/>
          </w:tcPr>
          <w:p w:rsidR="001317B1" w:rsidRPr="001F1691" w:rsidRDefault="00E74A46" w:rsidP="00374CDF">
            <w:pPr>
              <w:tabs>
                <w:tab w:val="right" w:leader="dot" w:pos="6975"/>
              </w:tabs>
              <w:spacing w:before="20" w:after="20" w:line="240" w:lineRule="auto"/>
              <w:jc w:val="left"/>
              <w:rPr>
                <w:color w:val="000000"/>
                <w:sz w:val="14"/>
                <w:szCs w:val="14"/>
              </w:rPr>
            </w:pPr>
            <w:r w:rsidRPr="001F1691">
              <w:rPr>
                <w:color w:val="000000"/>
                <w:sz w:val="14"/>
                <w:szCs w:val="14"/>
              </w:rPr>
              <w:t>Dépenses en assurance par ménage et par personne active 20</w:t>
            </w:r>
            <w:r w:rsidR="00374CDF">
              <w:rPr>
                <w:color w:val="000000"/>
                <w:sz w:val="14"/>
                <w:szCs w:val="14"/>
              </w:rPr>
              <w:t>09</w:t>
            </w:r>
            <w:r w:rsidRPr="001F1691">
              <w:rPr>
                <w:color w:val="000000"/>
                <w:sz w:val="14"/>
                <w:szCs w:val="14"/>
              </w:rPr>
              <w:t>-20</w:t>
            </w:r>
            <w:r w:rsidR="00374CDF">
              <w:rPr>
                <w:color w:val="000000"/>
                <w:sz w:val="14"/>
                <w:szCs w:val="14"/>
              </w:rPr>
              <w:t>10</w:t>
            </w:r>
            <w:r w:rsidRPr="001F1691">
              <w:rPr>
                <w:color w:val="000000"/>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3</w:t>
            </w:r>
            <w:r w:rsidR="001F1691">
              <w:rPr>
                <w:sz w:val="14"/>
                <w:szCs w:val="14"/>
              </w:rPr>
              <w:t>9</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.12</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Structure de la production en assurance ‘’entreprises non agricoles’’ 20</w:t>
            </w:r>
            <w:r w:rsidR="00374CDF">
              <w:rPr>
                <w:sz w:val="14"/>
                <w:szCs w:val="14"/>
              </w:rPr>
              <w:t>09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1F1691" w:rsidP="00D92B21">
            <w:pPr>
              <w:spacing w:before="20" w:after="20" w:line="240" w:lineRule="auto"/>
              <w:jc w:val="left"/>
              <w:rPr>
                <w:sz w:val="14"/>
                <w:szCs w:val="14"/>
              </w:rPr>
            </w:pPr>
            <w:r>
              <w:rPr>
                <w:sz w:val="14"/>
                <w:szCs w:val="14"/>
              </w:rPr>
              <w:t>39</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.13</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Evolution de la production en assurance des ‘’entreprises non agricoles’’ 20</w:t>
            </w:r>
            <w:r w:rsidR="00374CDF">
              <w:rPr>
                <w:sz w:val="14"/>
                <w:szCs w:val="14"/>
              </w:rPr>
              <w:t>09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D92B21">
            <w:pPr>
              <w:spacing w:before="20" w:after="20" w:line="240" w:lineRule="auto"/>
              <w:jc w:val="left"/>
              <w:rPr>
                <w:sz w:val="14"/>
                <w:szCs w:val="14"/>
              </w:rPr>
            </w:pPr>
            <w:r w:rsidRPr="001F1691">
              <w:rPr>
                <w:sz w:val="14"/>
                <w:szCs w:val="14"/>
              </w:rPr>
              <w:t>4</w:t>
            </w:r>
            <w:r w:rsidR="001F1691">
              <w:rPr>
                <w:sz w:val="14"/>
                <w:szCs w:val="14"/>
              </w:rPr>
              <w:t>1</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.15</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Structure des assurances du secteur agricole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1F1691">
            <w:pPr>
              <w:spacing w:before="20" w:after="20" w:line="240" w:lineRule="auto"/>
              <w:jc w:val="left"/>
              <w:rPr>
                <w:sz w:val="14"/>
                <w:szCs w:val="14"/>
              </w:rPr>
            </w:pPr>
            <w:r w:rsidRPr="001F1691">
              <w:rPr>
                <w:sz w:val="14"/>
                <w:szCs w:val="14"/>
              </w:rPr>
              <w:t>4</w:t>
            </w:r>
            <w:r w:rsidR="001F1691">
              <w:rPr>
                <w:sz w:val="14"/>
                <w:szCs w:val="14"/>
              </w:rPr>
              <w:t>1</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.16</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Evolution de la production en assurance agricole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D92B21">
            <w:pPr>
              <w:spacing w:before="20" w:after="20" w:line="240" w:lineRule="auto"/>
              <w:jc w:val="left"/>
              <w:rPr>
                <w:sz w:val="14"/>
                <w:szCs w:val="14"/>
              </w:rPr>
            </w:pPr>
            <w:r w:rsidRPr="001F1691">
              <w:rPr>
                <w:sz w:val="14"/>
                <w:szCs w:val="14"/>
              </w:rPr>
              <w:t>42</w:t>
            </w:r>
          </w:p>
        </w:tc>
      </w:tr>
      <w:tr w:rsidR="00E47D96" w:rsidRPr="001F1691" w:rsidTr="00143725">
        <w:trPr>
          <w:trHeight w:val="228"/>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.18</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Structure de la production en assurance des importations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D92B21">
            <w:pPr>
              <w:spacing w:before="20" w:after="20" w:line="240" w:lineRule="auto"/>
              <w:jc w:val="left"/>
              <w:rPr>
                <w:sz w:val="14"/>
                <w:szCs w:val="14"/>
              </w:rPr>
            </w:pPr>
            <w:r w:rsidRPr="001F1691">
              <w:rPr>
                <w:sz w:val="14"/>
                <w:szCs w:val="14"/>
              </w:rPr>
              <w:t>4</w:t>
            </w:r>
            <w:r w:rsidR="001F1691">
              <w:rPr>
                <w:sz w:val="14"/>
                <w:szCs w:val="14"/>
              </w:rPr>
              <w:t>3</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.19</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Evolution de la production en assurance des importations 20</w:t>
            </w:r>
            <w:r w:rsidR="00374CDF">
              <w:rPr>
                <w:sz w:val="14"/>
                <w:szCs w:val="14"/>
              </w:rPr>
              <w:t>09</w:t>
            </w:r>
            <w:r w:rsidRPr="001F1691">
              <w:rPr>
                <w:sz w:val="14"/>
                <w:szCs w:val="14"/>
              </w:rPr>
              <w:t>-20</w:t>
            </w:r>
            <w:r w:rsidR="00374CDF">
              <w:rPr>
                <w:sz w:val="14"/>
                <w:szCs w:val="14"/>
              </w:rPr>
              <w:t>10</w:t>
            </w:r>
            <w:r w:rsidRPr="001F1691">
              <w:rPr>
                <w:sz w:val="14"/>
                <w:szCs w:val="14"/>
              </w:rPr>
              <w:t>.</w:t>
            </w:r>
            <w:r w:rsidRPr="001F1691">
              <w:rPr>
                <w:sz w:val="14"/>
                <w:szCs w:val="14"/>
              </w:rPr>
              <w:tab/>
              <w:t xml:space="preserve"> </w:t>
            </w:r>
          </w:p>
        </w:tc>
        <w:tc>
          <w:tcPr>
            <w:tcW w:w="952" w:type="dxa"/>
            <w:vAlign w:val="center"/>
          </w:tcPr>
          <w:p w:rsidR="00E47D96" w:rsidRPr="001F1691" w:rsidRDefault="00E74A46" w:rsidP="00D92B21">
            <w:pPr>
              <w:spacing w:before="20" w:after="20" w:line="240" w:lineRule="auto"/>
              <w:jc w:val="left"/>
              <w:rPr>
                <w:sz w:val="14"/>
                <w:szCs w:val="14"/>
              </w:rPr>
            </w:pPr>
            <w:r w:rsidRPr="001F1691">
              <w:rPr>
                <w:sz w:val="14"/>
                <w:szCs w:val="14"/>
              </w:rPr>
              <w:t>4</w:t>
            </w:r>
            <w:r w:rsidR="00F23346">
              <w:rPr>
                <w:sz w:val="14"/>
                <w:szCs w:val="14"/>
              </w:rPr>
              <w:t>3</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.21</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Evolution et comparaison des taux de pénétration de l’assurance par agent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F23346">
            <w:pPr>
              <w:spacing w:before="20" w:after="20" w:line="240" w:lineRule="auto"/>
              <w:jc w:val="left"/>
              <w:rPr>
                <w:sz w:val="14"/>
                <w:szCs w:val="14"/>
              </w:rPr>
            </w:pPr>
            <w:r w:rsidRPr="001F1691">
              <w:rPr>
                <w:sz w:val="14"/>
                <w:szCs w:val="14"/>
              </w:rPr>
              <w:t>4</w:t>
            </w:r>
            <w:r w:rsidR="00F23346">
              <w:rPr>
                <w:sz w:val="14"/>
                <w:szCs w:val="14"/>
              </w:rPr>
              <w:t>4</w:t>
            </w:r>
          </w:p>
        </w:tc>
      </w:tr>
      <w:tr w:rsidR="00E47D96"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.22</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Sinistres réglés par compagnie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E47D96" w:rsidRPr="001F1691" w:rsidRDefault="00E74A46" w:rsidP="00D92B21">
            <w:pPr>
              <w:spacing w:before="20" w:after="20" w:line="240" w:lineRule="auto"/>
              <w:jc w:val="left"/>
              <w:rPr>
                <w:sz w:val="14"/>
                <w:szCs w:val="14"/>
              </w:rPr>
            </w:pPr>
            <w:r w:rsidRPr="001F1691">
              <w:rPr>
                <w:sz w:val="14"/>
                <w:szCs w:val="14"/>
              </w:rPr>
              <w:t>4</w:t>
            </w:r>
            <w:r w:rsidR="00F23346">
              <w:rPr>
                <w:sz w:val="14"/>
                <w:szCs w:val="14"/>
              </w:rPr>
              <w:t>4</w:t>
            </w:r>
          </w:p>
        </w:tc>
      </w:tr>
      <w:tr w:rsidR="00D11F62" w:rsidRPr="001F1691" w:rsidTr="00143725">
        <w:trPr>
          <w:trHeight w:val="210"/>
          <w:jc w:val="center"/>
        </w:trPr>
        <w:tc>
          <w:tcPr>
            <w:tcW w:w="926" w:type="dxa"/>
            <w:vAlign w:val="center"/>
          </w:tcPr>
          <w:p w:rsidR="00637E22" w:rsidRPr="001F1691" w:rsidRDefault="00B9518F" w:rsidP="00AE5E72">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w:t>
            </w:r>
            <w:r w:rsidR="00AE5E72">
              <w:rPr>
                <w:color w:val="000000"/>
                <w:sz w:val="14"/>
                <w:szCs w:val="14"/>
              </w:rPr>
              <w:t>23</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Sinistres réglés par branche 200</w:t>
            </w:r>
            <w:r w:rsidR="00374CDF">
              <w:rPr>
                <w:sz w:val="14"/>
                <w:szCs w:val="14"/>
              </w:rPr>
              <w:t>9-2010</w:t>
            </w:r>
            <w:r w:rsidRPr="001F1691">
              <w:rPr>
                <w:sz w:val="14"/>
                <w:szCs w:val="14"/>
              </w:rPr>
              <w:t>.</w:t>
            </w:r>
            <w:r w:rsidRPr="001F1691">
              <w:rPr>
                <w:sz w:val="14"/>
                <w:szCs w:val="14"/>
              </w:rPr>
              <w:tab/>
            </w:r>
          </w:p>
        </w:tc>
        <w:tc>
          <w:tcPr>
            <w:tcW w:w="952" w:type="dxa"/>
            <w:vAlign w:val="center"/>
          </w:tcPr>
          <w:p w:rsidR="00D11F62" w:rsidRPr="001F1691" w:rsidRDefault="00F23346" w:rsidP="00AE5E72">
            <w:pPr>
              <w:spacing w:before="20" w:after="20" w:line="240" w:lineRule="auto"/>
              <w:jc w:val="left"/>
              <w:rPr>
                <w:sz w:val="14"/>
                <w:szCs w:val="14"/>
              </w:rPr>
            </w:pPr>
            <w:r>
              <w:rPr>
                <w:sz w:val="14"/>
                <w:szCs w:val="14"/>
              </w:rPr>
              <w:t>4</w:t>
            </w:r>
            <w:r w:rsidR="00AE5E72">
              <w:rPr>
                <w:sz w:val="14"/>
                <w:szCs w:val="14"/>
              </w:rPr>
              <w:t>8</w:t>
            </w:r>
          </w:p>
        </w:tc>
      </w:tr>
      <w:tr w:rsidR="00D11F62"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.24</w:t>
            </w:r>
          </w:p>
        </w:tc>
        <w:tc>
          <w:tcPr>
            <w:tcW w:w="7018" w:type="dxa"/>
          </w:tcPr>
          <w:p w:rsidR="00D11F62" w:rsidRPr="001F1691" w:rsidRDefault="00E74A46" w:rsidP="00374CDF">
            <w:pPr>
              <w:tabs>
                <w:tab w:val="right" w:leader="dot" w:pos="6975"/>
              </w:tabs>
              <w:spacing w:before="20" w:after="20" w:line="240" w:lineRule="auto"/>
              <w:jc w:val="left"/>
              <w:rPr>
                <w:sz w:val="14"/>
                <w:szCs w:val="14"/>
              </w:rPr>
            </w:pPr>
            <w:r w:rsidRPr="001F1691">
              <w:rPr>
                <w:sz w:val="14"/>
                <w:szCs w:val="14"/>
              </w:rPr>
              <w:t>Sinistres à payer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49</w:t>
            </w:r>
          </w:p>
        </w:tc>
      </w:tr>
      <w:tr w:rsidR="00D11F62"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.25</w:t>
            </w:r>
          </w:p>
        </w:tc>
        <w:tc>
          <w:tcPr>
            <w:tcW w:w="7018" w:type="dxa"/>
          </w:tcPr>
          <w:p w:rsidR="00D11F62" w:rsidRPr="001F1691" w:rsidRDefault="00E74A46" w:rsidP="00374CDF">
            <w:pPr>
              <w:tabs>
                <w:tab w:val="right" w:leader="dot" w:pos="6975"/>
              </w:tabs>
              <w:spacing w:before="20" w:after="20" w:line="240" w:lineRule="auto"/>
              <w:jc w:val="left"/>
              <w:rPr>
                <w:sz w:val="14"/>
                <w:szCs w:val="14"/>
              </w:rPr>
            </w:pPr>
            <w:r w:rsidRPr="001F1691">
              <w:rPr>
                <w:sz w:val="14"/>
                <w:szCs w:val="14"/>
              </w:rPr>
              <w:t>Taux de règlement des sinistres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D11F62" w:rsidRPr="001F1691" w:rsidRDefault="00E74A46" w:rsidP="00AE5E72">
            <w:pPr>
              <w:spacing w:before="20" w:after="20" w:line="240" w:lineRule="auto"/>
              <w:jc w:val="left"/>
              <w:rPr>
                <w:sz w:val="14"/>
                <w:szCs w:val="14"/>
              </w:rPr>
            </w:pPr>
            <w:r w:rsidRPr="001F1691">
              <w:rPr>
                <w:sz w:val="14"/>
                <w:szCs w:val="14"/>
              </w:rPr>
              <w:t>5</w:t>
            </w:r>
            <w:r w:rsidR="00AE5E72">
              <w:rPr>
                <w:sz w:val="14"/>
                <w:szCs w:val="14"/>
              </w:rPr>
              <w:t>1</w:t>
            </w:r>
          </w:p>
        </w:tc>
      </w:tr>
      <w:tr w:rsidR="00D11F62" w:rsidRPr="001F1691" w:rsidTr="00143725">
        <w:trPr>
          <w:trHeight w:val="228"/>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.26</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Sinistralité par branche en 200</w:t>
            </w:r>
            <w:r w:rsidR="00374CDF">
              <w:rPr>
                <w:sz w:val="14"/>
                <w:szCs w:val="14"/>
              </w:rPr>
              <w:t>9</w:t>
            </w:r>
            <w:r w:rsidRPr="001F1691">
              <w:rPr>
                <w:sz w:val="14"/>
                <w:szCs w:val="14"/>
              </w:rPr>
              <w:t>-20</w:t>
            </w:r>
            <w:r w:rsidR="00374CDF">
              <w:rPr>
                <w:sz w:val="14"/>
                <w:szCs w:val="14"/>
              </w:rPr>
              <w:t>10</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5</w:t>
            </w:r>
            <w:r w:rsidR="00AE5E72">
              <w:rPr>
                <w:sz w:val="14"/>
                <w:szCs w:val="14"/>
              </w:rPr>
              <w:t>2</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.27</w:t>
            </w:r>
          </w:p>
        </w:tc>
        <w:tc>
          <w:tcPr>
            <w:tcW w:w="7018" w:type="dxa"/>
          </w:tcPr>
          <w:p w:rsidR="00D11F62" w:rsidRPr="001F1691" w:rsidRDefault="00E74A46" w:rsidP="00374CDF">
            <w:pPr>
              <w:tabs>
                <w:tab w:val="right" w:leader="dot" w:pos="6975"/>
              </w:tabs>
              <w:spacing w:before="20" w:after="20" w:line="240" w:lineRule="auto"/>
              <w:jc w:val="left"/>
              <w:rPr>
                <w:sz w:val="14"/>
                <w:szCs w:val="14"/>
              </w:rPr>
            </w:pPr>
            <w:r w:rsidRPr="001F1691">
              <w:rPr>
                <w:sz w:val="14"/>
                <w:szCs w:val="14"/>
              </w:rPr>
              <w:t xml:space="preserve">Classement des wilayas selon leur couverture par </w:t>
            </w:r>
            <w:r w:rsidR="00374CDF">
              <w:rPr>
                <w:sz w:val="14"/>
                <w:szCs w:val="14"/>
              </w:rPr>
              <w:t>le réseau de distribution en 2010</w:t>
            </w:r>
            <w:r w:rsidRPr="001F1691">
              <w:rPr>
                <w:sz w:val="14"/>
                <w:szCs w:val="14"/>
              </w:rPr>
              <w:t>.</w:t>
            </w:r>
            <w:r w:rsidRPr="001F1691">
              <w:rPr>
                <w:sz w:val="14"/>
                <w:szCs w:val="14"/>
              </w:rPr>
              <w:tab/>
            </w:r>
          </w:p>
        </w:tc>
        <w:tc>
          <w:tcPr>
            <w:tcW w:w="952" w:type="dxa"/>
            <w:vAlign w:val="center"/>
          </w:tcPr>
          <w:p w:rsidR="00D11F62" w:rsidRPr="001F1691" w:rsidRDefault="00E74A46" w:rsidP="00D92B21">
            <w:pPr>
              <w:spacing w:before="20" w:after="20" w:line="240" w:lineRule="auto"/>
              <w:jc w:val="left"/>
              <w:rPr>
                <w:sz w:val="14"/>
                <w:szCs w:val="14"/>
              </w:rPr>
            </w:pPr>
            <w:r w:rsidRPr="001F1691">
              <w:rPr>
                <w:sz w:val="14"/>
                <w:szCs w:val="14"/>
              </w:rPr>
              <w:t>5</w:t>
            </w:r>
            <w:r w:rsidR="00AE5E72">
              <w:rPr>
                <w:sz w:val="14"/>
                <w:szCs w:val="14"/>
              </w:rPr>
              <w:t>4</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.28</w:t>
            </w:r>
          </w:p>
        </w:tc>
        <w:tc>
          <w:tcPr>
            <w:tcW w:w="7018" w:type="dxa"/>
          </w:tcPr>
          <w:p w:rsidR="001317B1" w:rsidRPr="001F1691" w:rsidRDefault="00E74A46" w:rsidP="00374CDF">
            <w:pPr>
              <w:tabs>
                <w:tab w:val="right" w:leader="dot" w:pos="6975"/>
              </w:tabs>
              <w:spacing w:before="20" w:after="20" w:line="240" w:lineRule="auto"/>
              <w:jc w:val="left"/>
              <w:rPr>
                <w:sz w:val="14"/>
                <w:szCs w:val="14"/>
              </w:rPr>
            </w:pPr>
            <w:r w:rsidRPr="001F1691">
              <w:rPr>
                <w:sz w:val="14"/>
                <w:szCs w:val="14"/>
              </w:rPr>
              <w:t>Production des intermédiaires par entreprise et par branche 20</w:t>
            </w:r>
            <w:r w:rsidR="00374CDF">
              <w:rPr>
                <w:sz w:val="14"/>
                <w:szCs w:val="14"/>
              </w:rPr>
              <w:t>10</w:t>
            </w:r>
            <w:r w:rsidRPr="001F1691">
              <w:rPr>
                <w:sz w:val="14"/>
                <w:szCs w:val="14"/>
              </w:rPr>
              <w:tab/>
            </w:r>
          </w:p>
        </w:tc>
        <w:tc>
          <w:tcPr>
            <w:tcW w:w="952" w:type="dxa"/>
            <w:vAlign w:val="center"/>
          </w:tcPr>
          <w:p w:rsidR="00D11F62" w:rsidRPr="001F1691" w:rsidRDefault="00E74A46" w:rsidP="00D92B21">
            <w:pPr>
              <w:spacing w:before="20" w:after="20" w:line="240" w:lineRule="auto"/>
              <w:jc w:val="left"/>
              <w:rPr>
                <w:sz w:val="14"/>
                <w:szCs w:val="14"/>
              </w:rPr>
            </w:pPr>
            <w:r w:rsidRPr="001F1691">
              <w:rPr>
                <w:sz w:val="14"/>
                <w:szCs w:val="14"/>
              </w:rPr>
              <w:t>5</w:t>
            </w:r>
            <w:r w:rsidR="00AE5E72">
              <w:rPr>
                <w:sz w:val="14"/>
                <w:szCs w:val="14"/>
              </w:rPr>
              <w:t>5</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.29</w:t>
            </w:r>
          </w:p>
        </w:tc>
        <w:tc>
          <w:tcPr>
            <w:tcW w:w="7018" w:type="dxa"/>
          </w:tcPr>
          <w:p w:rsidR="00D11F62" w:rsidRPr="001F1691" w:rsidRDefault="00E74A46" w:rsidP="00374CDF">
            <w:pPr>
              <w:tabs>
                <w:tab w:val="right" w:leader="dot" w:pos="6975"/>
              </w:tabs>
              <w:spacing w:before="20" w:after="20" w:line="240" w:lineRule="auto"/>
              <w:jc w:val="left"/>
              <w:rPr>
                <w:sz w:val="14"/>
                <w:szCs w:val="14"/>
              </w:rPr>
            </w:pPr>
            <w:r w:rsidRPr="001F1691">
              <w:rPr>
                <w:sz w:val="14"/>
                <w:szCs w:val="14"/>
              </w:rPr>
              <w:t>Parts dans le marché du réseau d'intermédiaires privés par branche en 20</w:t>
            </w:r>
            <w:r w:rsidR="00374CDF">
              <w:rPr>
                <w:sz w:val="14"/>
                <w:szCs w:val="14"/>
              </w:rPr>
              <w:t>10</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5</w:t>
            </w:r>
            <w:r w:rsidR="00AE5E72">
              <w:rPr>
                <w:sz w:val="14"/>
                <w:szCs w:val="14"/>
              </w:rPr>
              <w:t>6</w:t>
            </w:r>
          </w:p>
        </w:tc>
      </w:tr>
      <w:tr w:rsidR="00D11F62"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.29 bis</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Structure du portefeuille des intermédiaires par compagnie</w:t>
            </w:r>
            <w:r w:rsidR="00374CDF">
              <w:rPr>
                <w:sz w:val="14"/>
                <w:szCs w:val="14"/>
              </w:rPr>
              <w:t xml:space="preserve"> 2010</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5</w:t>
            </w:r>
            <w:r w:rsidR="00AE5E72">
              <w:rPr>
                <w:sz w:val="14"/>
                <w:szCs w:val="14"/>
              </w:rPr>
              <w:t>6</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.30</w:t>
            </w:r>
          </w:p>
        </w:tc>
        <w:tc>
          <w:tcPr>
            <w:tcW w:w="7018" w:type="dxa"/>
          </w:tcPr>
          <w:p w:rsidR="00D11F62" w:rsidRPr="001F1691" w:rsidRDefault="00E74A46" w:rsidP="00374CDF">
            <w:pPr>
              <w:tabs>
                <w:tab w:val="right" w:leader="dot" w:pos="6975"/>
              </w:tabs>
              <w:spacing w:before="20" w:after="20" w:line="240" w:lineRule="auto"/>
              <w:jc w:val="left"/>
              <w:rPr>
                <w:sz w:val="14"/>
                <w:szCs w:val="14"/>
              </w:rPr>
            </w:pPr>
            <w:r w:rsidRPr="001F1691">
              <w:rPr>
                <w:sz w:val="14"/>
                <w:szCs w:val="14"/>
              </w:rPr>
              <w:t>Analyse des commissions versées aux intermédiaires privés 200</w:t>
            </w:r>
            <w:r w:rsidR="00374CDF">
              <w:rPr>
                <w:sz w:val="14"/>
                <w:szCs w:val="14"/>
              </w:rPr>
              <w:t>9</w:t>
            </w:r>
            <w:r w:rsidRPr="001F1691">
              <w:rPr>
                <w:sz w:val="14"/>
                <w:szCs w:val="14"/>
              </w:rPr>
              <w:t>-20</w:t>
            </w:r>
            <w:r w:rsidR="00374CDF">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5</w:t>
            </w:r>
            <w:r w:rsidR="00AE5E72">
              <w:rPr>
                <w:sz w:val="14"/>
                <w:szCs w:val="14"/>
              </w:rPr>
              <w:t>6</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.31</w:t>
            </w:r>
          </w:p>
        </w:tc>
        <w:tc>
          <w:tcPr>
            <w:tcW w:w="7018" w:type="dxa"/>
          </w:tcPr>
          <w:p w:rsidR="00D11F62" w:rsidRPr="001F1691" w:rsidRDefault="00E74A46" w:rsidP="007A126A">
            <w:pPr>
              <w:tabs>
                <w:tab w:val="right" w:leader="dot" w:pos="6975"/>
              </w:tabs>
              <w:spacing w:before="20" w:after="20" w:line="240" w:lineRule="auto"/>
              <w:jc w:val="left"/>
              <w:rPr>
                <w:sz w:val="14"/>
                <w:szCs w:val="14"/>
              </w:rPr>
            </w:pPr>
            <w:r w:rsidRPr="001F1691">
              <w:rPr>
                <w:sz w:val="14"/>
                <w:szCs w:val="14"/>
              </w:rPr>
              <w:t>Structure du marché de la réassurance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57</w:t>
            </w:r>
          </w:p>
        </w:tc>
      </w:tr>
      <w:tr w:rsidR="00D11F62"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-31 bis</w:t>
            </w:r>
          </w:p>
        </w:tc>
        <w:tc>
          <w:tcPr>
            <w:tcW w:w="7018" w:type="dxa"/>
          </w:tcPr>
          <w:p w:rsidR="00D11F62" w:rsidRPr="001F1691" w:rsidRDefault="00E74A46" w:rsidP="007A126A">
            <w:pPr>
              <w:tabs>
                <w:tab w:val="right" w:leader="dot" w:pos="6975"/>
              </w:tabs>
              <w:spacing w:before="20" w:after="20" w:line="240" w:lineRule="auto"/>
              <w:jc w:val="left"/>
              <w:rPr>
                <w:sz w:val="14"/>
                <w:szCs w:val="14"/>
              </w:rPr>
            </w:pPr>
            <w:r w:rsidRPr="001F1691">
              <w:rPr>
                <w:sz w:val="14"/>
                <w:szCs w:val="14"/>
              </w:rPr>
              <w:t>Structure des acceptations nationales de la CCR par branche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58</w:t>
            </w:r>
          </w:p>
        </w:tc>
      </w:tr>
      <w:tr w:rsidR="00D11F62" w:rsidRPr="001F1691" w:rsidTr="00143725">
        <w:trPr>
          <w:trHeight w:val="210"/>
          <w:jc w:val="center"/>
        </w:trPr>
        <w:tc>
          <w:tcPr>
            <w:tcW w:w="926" w:type="dxa"/>
            <w:vAlign w:val="center"/>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.32</w:t>
            </w:r>
          </w:p>
        </w:tc>
        <w:tc>
          <w:tcPr>
            <w:tcW w:w="7018" w:type="dxa"/>
          </w:tcPr>
          <w:p w:rsidR="00D11F62" w:rsidRPr="001F1691" w:rsidRDefault="00E74A46" w:rsidP="007A126A">
            <w:pPr>
              <w:tabs>
                <w:tab w:val="right" w:leader="dot" w:pos="6975"/>
              </w:tabs>
              <w:spacing w:before="20" w:after="20" w:line="240" w:lineRule="auto"/>
              <w:jc w:val="left"/>
              <w:rPr>
                <w:sz w:val="14"/>
                <w:szCs w:val="14"/>
              </w:rPr>
            </w:pPr>
            <w:r w:rsidRPr="001F1691">
              <w:rPr>
                <w:sz w:val="14"/>
                <w:szCs w:val="14"/>
              </w:rPr>
              <w:t>Pression de réassurance sur la production globale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59</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.35</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Volume des placements fi</w:t>
            </w:r>
            <w:r w:rsidR="007A126A">
              <w:rPr>
                <w:sz w:val="14"/>
                <w:szCs w:val="14"/>
              </w:rPr>
              <w:t>nanciers par compagnie 2009-2010</w:t>
            </w:r>
            <w:r w:rsidRPr="001F1691">
              <w:rPr>
                <w:sz w:val="14"/>
                <w:szCs w:val="14"/>
              </w:rPr>
              <w:t>.</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62</w:t>
            </w:r>
          </w:p>
        </w:tc>
      </w:tr>
      <w:tr w:rsidR="00D11F62" w:rsidRPr="001F1691" w:rsidTr="00143725">
        <w:trPr>
          <w:trHeight w:val="385"/>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.36</w:t>
            </w:r>
          </w:p>
        </w:tc>
        <w:tc>
          <w:tcPr>
            <w:tcW w:w="7018" w:type="dxa"/>
          </w:tcPr>
          <w:p w:rsidR="001317B1" w:rsidRPr="001F1691" w:rsidRDefault="00E74A46" w:rsidP="007A126A">
            <w:pPr>
              <w:tabs>
                <w:tab w:val="right" w:leader="dot" w:pos="6975"/>
              </w:tabs>
              <w:spacing w:before="20" w:after="20" w:line="240" w:lineRule="auto"/>
              <w:jc w:val="left"/>
              <w:rPr>
                <w:sz w:val="14"/>
                <w:szCs w:val="14"/>
              </w:rPr>
            </w:pPr>
            <w:r w:rsidRPr="001F1691">
              <w:rPr>
                <w:sz w:val="14"/>
                <w:szCs w:val="14"/>
              </w:rPr>
              <w:t>Rendements des placements et contribution du secteur au financement de l’investissement national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bottom"/>
          </w:tcPr>
          <w:p w:rsidR="00F14AA9" w:rsidRPr="001F1691" w:rsidRDefault="00AE5E72">
            <w:pPr>
              <w:spacing w:before="20" w:after="20" w:line="240" w:lineRule="auto"/>
              <w:jc w:val="left"/>
              <w:rPr>
                <w:sz w:val="14"/>
                <w:szCs w:val="14"/>
              </w:rPr>
            </w:pPr>
            <w:r>
              <w:rPr>
                <w:sz w:val="14"/>
                <w:szCs w:val="14"/>
              </w:rPr>
              <w:t>63</w:t>
            </w:r>
          </w:p>
        </w:tc>
      </w:tr>
      <w:tr w:rsidR="00D11F62" w:rsidRPr="001F1691" w:rsidTr="00143725">
        <w:trPr>
          <w:trHeight w:val="210"/>
          <w:jc w:val="center"/>
        </w:trPr>
        <w:tc>
          <w:tcPr>
            <w:tcW w:w="926" w:type="dxa"/>
          </w:tcPr>
          <w:p w:rsidR="001317B1" w:rsidRPr="001F1691" w:rsidRDefault="00B9518F">
            <w:pPr>
              <w:spacing w:before="20" w:after="20" w:line="240" w:lineRule="auto"/>
              <w:jc w:val="center"/>
              <w:rPr>
                <w:color w:val="000000"/>
                <w:sz w:val="14"/>
                <w:szCs w:val="14"/>
              </w:rPr>
            </w:pPr>
            <w:r>
              <w:rPr>
                <w:color w:val="000000"/>
                <w:sz w:val="14"/>
                <w:szCs w:val="14"/>
              </w:rPr>
              <w:t>10</w:t>
            </w:r>
            <w:r w:rsidR="00E74A46" w:rsidRPr="001F1691">
              <w:rPr>
                <w:color w:val="000000"/>
                <w:sz w:val="14"/>
                <w:szCs w:val="14"/>
              </w:rPr>
              <w:t>.37</w:t>
            </w:r>
          </w:p>
        </w:tc>
        <w:tc>
          <w:tcPr>
            <w:tcW w:w="7018" w:type="dxa"/>
          </w:tcPr>
          <w:p w:rsidR="001317B1" w:rsidRPr="001F1691" w:rsidRDefault="00E74A46" w:rsidP="007A126A">
            <w:pPr>
              <w:tabs>
                <w:tab w:val="right" w:leader="dot" w:pos="6975"/>
              </w:tabs>
              <w:spacing w:before="20" w:after="20" w:line="240" w:lineRule="auto"/>
              <w:jc w:val="left"/>
              <w:rPr>
                <w:sz w:val="14"/>
                <w:szCs w:val="14"/>
              </w:rPr>
            </w:pPr>
            <w:r w:rsidRPr="001F1691">
              <w:rPr>
                <w:sz w:val="14"/>
                <w:szCs w:val="14"/>
              </w:rPr>
              <w:t>Couverture des engagements techniques par compagnie en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6</w:t>
            </w:r>
            <w:r w:rsidR="00AE5E72">
              <w:rPr>
                <w:sz w:val="14"/>
                <w:szCs w:val="14"/>
              </w:rPr>
              <w:t>4</w:t>
            </w:r>
          </w:p>
        </w:tc>
      </w:tr>
      <w:tr w:rsidR="00D11F62" w:rsidRPr="001F1691" w:rsidTr="00143725">
        <w:trPr>
          <w:trHeight w:val="228"/>
          <w:jc w:val="center"/>
        </w:trPr>
        <w:tc>
          <w:tcPr>
            <w:tcW w:w="926" w:type="dxa"/>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.38</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Evolution du poids des frais généraux par compagnie.</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65</w:t>
            </w:r>
          </w:p>
        </w:tc>
      </w:tr>
      <w:tr w:rsidR="00D11F62" w:rsidRPr="001F1691" w:rsidTr="00143725">
        <w:trPr>
          <w:trHeight w:val="210"/>
          <w:jc w:val="center"/>
        </w:trPr>
        <w:tc>
          <w:tcPr>
            <w:tcW w:w="926" w:type="dxa"/>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.39</w:t>
            </w:r>
          </w:p>
        </w:tc>
        <w:tc>
          <w:tcPr>
            <w:tcW w:w="7018" w:type="dxa"/>
          </w:tcPr>
          <w:p w:rsidR="00D11F62" w:rsidRPr="001F1691" w:rsidRDefault="00E74A46" w:rsidP="007A126A">
            <w:pPr>
              <w:tabs>
                <w:tab w:val="right" w:leader="dot" w:pos="6975"/>
              </w:tabs>
              <w:spacing w:before="20" w:after="20" w:line="240" w:lineRule="auto"/>
              <w:jc w:val="left"/>
              <w:rPr>
                <w:sz w:val="14"/>
                <w:szCs w:val="14"/>
              </w:rPr>
            </w:pPr>
            <w:r w:rsidRPr="001F1691">
              <w:rPr>
                <w:sz w:val="14"/>
                <w:szCs w:val="14"/>
              </w:rPr>
              <w:t>Structure des frais de gestion 200</w:t>
            </w:r>
            <w:r w:rsidR="007A126A">
              <w:rPr>
                <w:sz w:val="14"/>
                <w:szCs w:val="14"/>
              </w:rPr>
              <w:t>9</w:t>
            </w:r>
            <w:r w:rsidRPr="001F1691">
              <w:rPr>
                <w:sz w:val="14"/>
                <w:szCs w:val="14"/>
              </w:rPr>
              <w:t>-20</w:t>
            </w:r>
            <w:r w:rsidR="007A126A">
              <w:rPr>
                <w:sz w:val="14"/>
                <w:szCs w:val="14"/>
              </w:rPr>
              <w:t>10</w:t>
            </w:r>
            <w:r w:rsidRPr="001F1691">
              <w:rPr>
                <w:sz w:val="14"/>
                <w:szCs w:val="14"/>
              </w:rPr>
              <w:t>.</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66</w:t>
            </w:r>
          </w:p>
        </w:tc>
      </w:tr>
      <w:tr w:rsidR="00D11F62" w:rsidRPr="001F1691" w:rsidTr="00143725">
        <w:trPr>
          <w:trHeight w:val="210"/>
          <w:jc w:val="center"/>
        </w:trPr>
        <w:tc>
          <w:tcPr>
            <w:tcW w:w="926" w:type="dxa"/>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.40</w:t>
            </w:r>
          </w:p>
        </w:tc>
        <w:tc>
          <w:tcPr>
            <w:tcW w:w="7018" w:type="dxa"/>
          </w:tcPr>
          <w:p w:rsidR="009E4339" w:rsidRPr="001F1691" w:rsidRDefault="00E74A46">
            <w:pPr>
              <w:tabs>
                <w:tab w:val="right" w:leader="dot" w:pos="6975"/>
              </w:tabs>
              <w:spacing w:before="20" w:after="20" w:line="240" w:lineRule="auto"/>
              <w:jc w:val="left"/>
              <w:rPr>
                <w:sz w:val="14"/>
                <w:szCs w:val="14"/>
              </w:rPr>
            </w:pPr>
            <w:r w:rsidRPr="001F1691">
              <w:rPr>
                <w:sz w:val="14"/>
                <w:szCs w:val="14"/>
              </w:rPr>
              <w:t>Couverture des frais généraux par les produits financiers</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67</w:t>
            </w:r>
          </w:p>
        </w:tc>
      </w:tr>
      <w:tr w:rsidR="00D11F62" w:rsidRPr="001F1691" w:rsidTr="00143725">
        <w:trPr>
          <w:trHeight w:val="210"/>
          <w:jc w:val="center"/>
        </w:trPr>
        <w:tc>
          <w:tcPr>
            <w:tcW w:w="926" w:type="dxa"/>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.41</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Classement des sociétés selon l’effectif employé.</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68</w:t>
            </w:r>
          </w:p>
        </w:tc>
      </w:tr>
      <w:tr w:rsidR="00D11F62" w:rsidRPr="001F1691" w:rsidTr="00143725">
        <w:trPr>
          <w:trHeight w:val="210"/>
          <w:jc w:val="center"/>
        </w:trPr>
        <w:tc>
          <w:tcPr>
            <w:tcW w:w="926" w:type="dxa"/>
            <w:vAlign w:val="center"/>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.41bis</w:t>
            </w:r>
          </w:p>
        </w:tc>
        <w:tc>
          <w:tcPr>
            <w:tcW w:w="7018" w:type="dxa"/>
          </w:tcPr>
          <w:p w:rsidR="00D11F62" w:rsidRPr="001F1691" w:rsidRDefault="00E74A46" w:rsidP="00385D5A">
            <w:pPr>
              <w:tabs>
                <w:tab w:val="right" w:leader="dot" w:pos="6975"/>
              </w:tabs>
              <w:spacing w:before="20" w:after="20" w:line="240" w:lineRule="auto"/>
              <w:jc w:val="left"/>
              <w:rPr>
                <w:sz w:val="14"/>
                <w:szCs w:val="14"/>
              </w:rPr>
            </w:pPr>
            <w:r w:rsidRPr="001F1691">
              <w:rPr>
                <w:sz w:val="14"/>
                <w:szCs w:val="14"/>
              </w:rPr>
              <w:t>Evolution des effectifs employés par le secteur (200</w:t>
            </w:r>
            <w:r w:rsidR="007A126A">
              <w:rPr>
                <w:sz w:val="14"/>
                <w:szCs w:val="14"/>
              </w:rPr>
              <w:t>6</w:t>
            </w:r>
            <w:r w:rsidRPr="001F1691">
              <w:rPr>
                <w:sz w:val="14"/>
                <w:szCs w:val="14"/>
              </w:rPr>
              <w:t>-20</w:t>
            </w:r>
            <w:r w:rsidR="00385D5A">
              <w:rPr>
                <w:sz w:val="14"/>
                <w:szCs w:val="14"/>
              </w:rPr>
              <w:t>10</w:t>
            </w:r>
            <w:r w:rsidRPr="001F1691">
              <w:rPr>
                <w:sz w:val="14"/>
                <w:szCs w:val="14"/>
              </w:rPr>
              <w:t>).</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69</w:t>
            </w:r>
          </w:p>
        </w:tc>
      </w:tr>
      <w:tr w:rsidR="00D11F62" w:rsidRPr="001F1691" w:rsidTr="00143725">
        <w:trPr>
          <w:trHeight w:val="210"/>
          <w:jc w:val="center"/>
        </w:trPr>
        <w:tc>
          <w:tcPr>
            <w:tcW w:w="926" w:type="dxa"/>
            <w:vAlign w:val="center"/>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.42</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Evolution des effectifs employés par les agents généraux.</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70</w:t>
            </w:r>
          </w:p>
        </w:tc>
      </w:tr>
      <w:tr w:rsidR="00D11F62" w:rsidRPr="001F1691" w:rsidTr="00143725">
        <w:trPr>
          <w:trHeight w:val="210"/>
          <w:jc w:val="center"/>
        </w:trPr>
        <w:tc>
          <w:tcPr>
            <w:tcW w:w="926" w:type="dxa"/>
            <w:vAlign w:val="center"/>
          </w:tcPr>
          <w:p w:rsidR="009E4339" w:rsidRPr="001F1691" w:rsidRDefault="00B9518F">
            <w:pPr>
              <w:spacing w:before="20" w:after="20" w:line="240" w:lineRule="auto"/>
              <w:jc w:val="center"/>
              <w:rPr>
                <w:sz w:val="14"/>
                <w:szCs w:val="14"/>
              </w:rPr>
            </w:pPr>
            <w:r>
              <w:rPr>
                <w:color w:val="000000"/>
                <w:sz w:val="14"/>
                <w:szCs w:val="14"/>
              </w:rPr>
              <w:t>10</w:t>
            </w:r>
            <w:r w:rsidR="00E74A46" w:rsidRPr="001F1691">
              <w:rPr>
                <w:sz w:val="14"/>
                <w:szCs w:val="14"/>
              </w:rPr>
              <w:t>.43</w:t>
            </w:r>
          </w:p>
        </w:tc>
        <w:tc>
          <w:tcPr>
            <w:tcW w:w="7018" w:type="dxa"/>
          </w:tcPr>
          <w:p w:rsidR="001317B1" w:rsidRPr="001F1691" w:rsidRDefault="00E74A46">
            <w:pPr>
              <w:tabs>
                <w:tab w:val="right" w:leader="dot" w:pos="6975"/>
              </w:tabs>
              <w:spacing w:before="20" w:after="20" w:line="240" w:lineRule="auto"/>
              <w:jc w:val="left"/>
              <w:rPr>
                <w:sz w:val="14"/>
                <w:szCs w:val="14"/>
              </w:rPr>
            </w:pPr>
            <w:r w:rsidRPr="001F1691">
              <w:rPr>
                <w:sz w:val="14"/>
                <w:szCs w:val="14"/>
              </w:rPr>
              <w:t>Structure des effectifs par grade en 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AE5E72">
            <w:pPr>
              <w:spacing w:before="20" w:after="20" w:line="240" w:lineRule="auto"/>
              <w:jc w:val="left"/>
              <w:rPr>
                <w:sz w:val="14"/>
                <w:szCs w:val="14"/>
              </w:rPr>
            </w:pPr>
            <w:r>
              <w:rPr>
                <w:sz w:val="14"/>
                <w:szCs w:val="14"/>
              </w:rPr>
              <w:t>71</w:t>
            </w:r>
          </w:p>
        </w:tc>
      </w:tr>
      <w:tr w:rsidR="00D11F62" w:rsidRPr="001F1691" w:rsidTr="00143725">
        <w:trPr>
          <w:trHeight w:val="210"/>
          <w:jc w:val="center"/>
        </w:trPr>
        <w:tc>
          <w:tcPr>
            <w:tcW w:w="926" w:type="dxa"/>
            <w:vAlign w:val="center"/>
          </w:tcPr>
          <w:p w:rsidR="009E4339" w:rsidRPr="001F1691" w:rsidRDefault="0035454B">
            <w:pPr>
              <w:spacing w:before="20" w:after="20" w:line="240" w:lineRule="auto"/>
              <w:jc w:val="center"/>
              <w:rPr>
                <w:sz w:val="14"/>
                <w:szCs w:val="14"/>
              </w:rPr>
            </w:pPr>
            <w:r>
              <w:rPr>
                <w:color w:val="000000"/>
                <w:sz w:val="14"/>
                <w:szCs w:val="14"/>
              </w:rPr>
              <w:t>10</w:t>
            </w:r>
            <w:r w:rsidR="00E74A46" w:rsidRPr="001F1691">
              <w:rPr>
                <w:sz w:val="14"/>
                <w:szCs w:val="14"/>
              </w:rPr>
              <w:t>.44</w:t>
            </w:r>
          </w:p>
        </w:tc>
        <w:tc>
          <w:tcPr>
            <w:tcW w:w="7018" w:type="dxa"/>
          </w:tcPr>
          <w:p w:rsidR="009E4339" w:rsidRPr="001F1691" w:rsidRDefault="00E74A46" w:rsidP="007A126A">
            <w:pPr>
              <w:tabs>
                <w:tab w:val="right" w:leader="dot" w:pos="6975"/>
              </w:tabs>
              <w:spacing w:before="20" w:after="20" w:line="240" w:lineRule="auto"/>
              <w:jc w:val="left"/>
              <w:rPr>
                <w:sz w:val="14"/>
                <w:szCs w:val="14"/>
              </w:rPr>
            </w:pPr>
            <w:r w:rsidRPr="001F1691">
              <w:rPr>
                <w:sz w:val="14"/>
                <w:szCs w:val="14"/>
              </w:rPr>
              <w:t>Structure des effectifs par âge et niveau de qualification en 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7</w:t>
            </w:r>
            <w:r w:rsidR="00AE5E72">
              <w:rPr>
                <w:sz w:val="14"/>
                <w:szCs w:val="14"/>
              </w:rPr>
              <w:t>2</w:t>
            </w:r>
          </w:p>
        </w:tc>
      </w:tr>
      <w:tr w:rsidR="00D11F62" w:rsidRPr="001F1691" w:rsidTr="00143725">
        <w:trPr>
          <w:trHeight w:val="210"/>
          <w:jc w:val="center"/>
        </w:trPr>
        <w:tc>
          <w:tcPr>
            <w:tcW w:w="926" w:type="dxa"/>
            <w:vAlign w:val="center"/>
          </w:tcPr>
          <w:p w:rsidR="009E4339" w:rsidRPr="001F1691" w:rsidRDefault="0035454B">
            <w:pPr>
              <w:spacing w:before="20" w:after="20" w:line="240" w:lineRule="auto"/>
              <w:jc w:val="center"/>
              <w:rPr>
                <w:sz w:val="14"/>
                <w:szCs w:val="14"/>
              </w:rPr>
            </w:pPr>
            <w:r>
              <w:rPr>
                <w:color w:val="000000"/>
                <w:sz w:val="14"/>
                <w:szCs w:val="14"/>
              </w:rPr>
              <w:t>10</w:t>
            </w:r>
            <w:r w:rsidR="00E74A46" w:rsidRPr="001F1691">
              <w:rPr>
                <w:sz w:val="14"/>
                <w:szCs w:val="14"/>
              </w:rPr>
              <w:t>.45</w:t>
            </w:r>
          </w:p>
        </w:tc>
        <w:tc>
          <w:tcPr>
            <w:tcW w:w="7018" w:type="dxa"/>
          </w:tcPr>
          <w:p w:rsidR="009E4339" w:rsidRPr="001F1691" w:rsidRDefault="00E74A46" w:rsidP="007A126A">
            <w:pPr>
              <w:tabs>
                <w:tab w:val="right" w:leader="dot" w:pos="6975"/>
              </w:tabs>
              <w:spacing w:before="20" w:after="20" w:line="240" w:lineRule="auto"/>
              <w:jc w:val="left"/>
              <w:rPr>
                <w:sz w:val="14"/>
                <w:szCs w:val="14"/>
              </w:rPr>
            </w:pPr>
            <w:r w:rsidRPr="001F1691">
              <w:rPr>
                <w:sz w:val="14"/>
                <w:szCs w:val="14"/>
              </w:rPr>
              <w:t>Effectifs en formation par grade en 20</w:t>
            </w:r>
            <w:r w:rsidR="007A126A">
              <w:rPr>
                <w:sz w:val="14"/>
                <w:szCs w:val="14"/>
              </w:rPr>
              <w:t>10</w:t>
            </w:r>
            <w:r w:rsidRPr="001F1691">
              <w:rPr>
                <w:sz w:val="14"/>
                <w:szCs w:val="14"/>
              </w:rPr>
              <w:t>.</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7</w:t>
            </w:r>
            <w:r w:rsidR="00AE5E72">
              <w:rPr>
                <w:sz w:val="14"/>
                <w:szCs w:val="14"/>
              </w:rPr>
              <w:t>4</w:t>
            </w:r>
          </w:p>
        </w:tc>
      </w:tr>
      <w:tr w:rsidR="00D11F62" w:rsidRPr="001F1691" w:rsidTr="00143725">
        <w:trPr>
          <w:trHeight w:val="210"/>
          <w:jc w:val="center"/>
        </w:trPr>
        <w:tc>
          <w:tcPr>
            <w:tcW w:w="926" w:type="dxa"/>
            <w:vAlign w:val="center"/>
          </w:tcPr>
          <w:p w:rsidR="009E4339" w:rsidRPr="001F1691" w:rsidRDefault="0035454B">
            <w:pPr>
              <w:spacing w:before="20" w:after="20" w:line="240" w:lineRule="auto"/>
              <w:jc w:val="center"/>
              <w:rPr>
                <w:sz w:val="14"/>
                <w:szCs w:val="14"/>
              </w:rPr>
            </w:pPr>
            <w:r>
              <w:rPr>
                <w:color w:val="000000"/>
                <w:sz w:val="14"/>
                <w:szCs w:val="14"/>
              </w:rPr>
              <w:t>10</w:t>
            </w:r>
            <w:r w:rsidR="00E74A46" w:rsidRPr="001F1691">
              <w:rPr>
                <w:sz w:val="14"/>
                <w:szCs w:val="14"/>
              </w:rPr>
              <w:t>.46</w:t>
            </w:r>
          </w:p>
        </w:tc>
        <w:tc>
          <w:tcPr>
            <w:tcW w:w="7018" w:type="dxa"/>
          </w:tcPr>
          <w:p w:rsidR="00D11F62" w:rsidRPr="001F1691" w:rsidRDefault="00E74A46" w:rsidP="007A126A">
            <w:pPr>
              <w:tabs>
                <w:tab w:val="right" w:leader="dot" w:pos="6975"/>
              </w:tabs>
              <w:spacing w:before="20" w:after="20" w:line="240" w:lineRule="auto"/>
              <w:jc w:val="left"/>
              <w:rPr>
                <w:sz w:val="14"/>
                <w:szCs w:val="14"/>
              </w:rPr>
            </w:pPr>
            <w:r w:rsidRPr="001F1691">
              <w:rPr>
                <w:sz w:val="14"/>
                <w:szCs w:val="14"/>
              </w:rPr>
              <w:t>Evolution de la dépense de formation par type de formation 200</w:t>
            </w:r>
            <w:r w:rsidR="007A126A">
              <w:rPr>
                <w:sz w:val="14"/>
                <w:szCs w:val="14"/>
              </w:rPr>
              <w:t>6</w:t>
            </w:r>
            <w:r w:rsidRPr="001F1691">
              <w:rPr>
                <w:sz w:val="14"/>
                <w:szCs w:val="14"/>
              </w:rPr>
              <w:t>-20</w:t>
            </w:r>
            <w:r w:rsidR="007A126A">
              <w:rPr>
                <w:sz w:val="14"/>
                <w:szCs w:val="14"/>
              </w:rPr>
              <w:t>10</w:t>
            </w:r>
            <w:r w:rsidRPr="001F1691">
              <w:rPr>
                <w:sz w:val="14"/>
                <w:szCs w:val="14"/>
              </w:rPr>
              <w:tab/>
            </w:r>
          </w:p>
        </w:tc>
        <w:tc>
          <w:tcPr>
            <w:tcW w:w="952" w:type="dxa"/>
            <w:vAlign w:val="center"/>
          </w:tcPr>
          <w:p w:rsidR="00F14AA9" w:rsidRPr="001F1691" w:rsidRDefault="00E74A46">
            <w:pPr>
              <w:spacing w:before="20" w:after="20" w:line="240" w:lineRule="auto"/>
              <w:jc w:val="left"/>
              <w:rPr>
                <w:sz w:val="14"/>
                <w:szCs w:val="14"/>
              </w:rPr>
            </w:pPr>
            <w:r w:rsidRPr="001F1691">
              <w:rPr>
                <w:sz w:val="14"/>
                <w:szCs w:val="14"/>
              </w:rPr>
              <w:t>7</w:t>
            </w:r>
            <w:r w:rsidR="00AE5E72">
              <w:rPr>
                <w:sz w:val="14"/>
                <w:szCs w:val="14"/>
              </w:rPr>
              <w:t>5</w:t>
            </w:r>
          </w:p>
        </w:tc>
      </w:tr>
      <w:tr w:rsidR="00D11F62" w:rsidRPr="001F1691" w:rsidTr="00143725">
        <w:trPr>
          <w:trHeight w:val="210"/>
          <w:jc w:val="center"/>
        </w:trPr>
        <w:tc>
          <w:tcPr>
            <w:tcW w:w="926" w:type="dxa"/>
            <w:vAlign w:val="center"/>
          </w:tcPr>
          <w:p w:rsidR="009E4339" w:rsidRPr="001F1691" w:rsidRDefault="0035454B">
            <w:pPr>
              <w:spacing w:before="20" w:after="20" w:line="240" w:lineRule="auto"/>
              <w:jc w:val="center"/>
              <w:rPr>
                <w:sz w:val="14"/>
                <w:szCs w:val="14"/>
              </w:rPr>
            </w:pPr>
            <w:r>
              <w:rPr>
                <w:color w:val="000000"/>
                <w:sz w:val="14"/>
                <w:szCs w:val="14"/>
              </w:rPr>
              <w:t>10</w:t>
            </w:r>
            <w:r w:rsidR="00E74A46" w:rsidRPr="001F1691">
              <w:rPr>
                <w:sz w:val="14"/>
                <w:szCs w:val="14"/>
              </w:rPr>
              <w:t>.47</w:t>
            </w:r>
          </w:p>
        </w:tc>
        <w:tc>
          <w:tcPr>
            <w:tcW w:w="7018" w:type="dxa"/>
          </w:tcPr>
          <w:p w:rsidR="00D11F62" w:rsidRPr="001F1691" w:rsidRDefault="00E74A46" w:rsidP="00D92B21">
            <w:pPr>
              <w:tabs>
                <w:tab w:val="right" w:leader="dot" w:pos="6975"/>
              </w:tabs>
              <w:spacing w:before="20" w:after="20" w:line="240" w:lineRule="auto"/>
              <w:jc w:val="left"/>
              <w:rPr>
                <w:sz w:val="14"/>
                <w:szCs w:val="14"/>
              </w:rPr>
            </w:pPr>
            <w:r w:rsidRPr="001F1691">
              <w:rPr>
                <w:sz w:val="14"/>
                <w:szCs w:val="14"/>
              </w:rPr>
              <w:t>Ratios de résultat.</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77</w:t>
            </w:r>
          </w:p>
        </w:tc>
      </w:tr>
      <w:tr w:rsidR="00D11F62" w:rsidRPr="001F1691" w:rsidTr="00143725">
        <w:trPr>
          <w:trHeight w:val="228"/>
          <w:jc w:val="center"/>
        </w:trPr>
        <w:tc>
          <w:tcPr>
            <w:tcW w:w="926" w:type="dxa"/>
            <w:vAlign w:val="center"/>
          </w:tcPr>
          <w:p w:rsidR="009E4339" w:rsidRPr="001F1691" w:rsidRDefault="0035454B">
            <w:pPr>
              <w:spacing w:before="20" w:after="20" w:line="240" w:lineRule="auto"/>
              <w:jc w:val="center"/>
              <w:rPr>
                <w:sz w:val="14"/>
                <w:szCs w:val="14"/>
              </w:rPr>
            </w:pPr>
            <w:r>
              <w:rPr>
                <w:color w:val="000000"/>
                <w:sz w:val="14"/>
                <w:szCs w:val="14"/>
              </w:rPr>
              <w:t>10</w:t>
            </w:r>
            <w:r w:rsidR="00E74A46" w:rsidRPr="001F1691">
              <w:rPr>
                <w:sz w:val="14"/>
                <w:szCs w:val="14"/>
              </w:rPr>
              <w:t>.47bis</w:t>
            </w:r>
          </w:p>
        </w:tc>
        <w:tc>
          <w:tcPr>
            <w:tcW w:w="7018" w:type="dxa"/>
          </w:tcPr>
          <w:p w:rsidR="00D018B2" w:rsidRPr="001F1691" w:rsidRDefault="00E74A46">
            <w:pPr>
              <w:tabs>
                <w:tab w:val="right" w:leader="dot" w:pos="6975"/>
              </w:tabs>
              <w:spacing w:before="20" w:after="20" w:line="240" w:lineRule="auto"/>
              <w:jc w:val="left"/>
              <w:rPr>
                <w:sz w:val="14"/>
                <w:szCs w:val="14"/>
              </w:rPr>
            </w:pPr>
            <w:r w:rsidRPr="001F1691">
              <w:rPr>
                <w:sz w:val="14"/>
                <w:szCs w:val="14"/>
              </w:rPr>
              <w:t>Rentabilité des entreprises d'assurance par forme institutionnelles en 20</w:t>
            </w:r>
            <w:r w:rsidR="007A126A">
              <w:rPr>
                <w:sz w:val="14"/>
                <w:szCs w:val="14"/>
              </w:rPr>
              <w:t>10</w:t>
            </w:r>
            <w:r w:rsidRPr="001F1691">
              <w:rPr>
                <w:sz w:val="14"/>
                <w:szCs w:val="14"/>
              </w:rPr>
              <w:t>.</w:t>
            </w:r>
            <w:r w:rsidRPr="001F1691">
              <w:rPr>
                <w:sz w:val="14"/>
                <w:szCs w:val="14"/>
              </w:rPr>
              <w:tab/>
            </w:r>
          </w:p>
        </w:tc>
        <w:tc>
          <w:tcPr>
            <w:tcW w:w="952" w:type="dxa"/>
            <w:vAlign w:val="center"/>
          </w:tcPr>
          <w:p w:rsidR="00D11F62" w:rsidRPr="001F1691" w:rsidRDefault="00AE5E72" w:rsidP="00D92B21">
            <w:pPr>
              <w:spacing w:before="20" w:after="20" w:line="240" w:lineRule="auto"/>
              <w:jc w:val="left"/>
              <w:rPr>
                <w:sz w:val="14"/>
                <w:szCs w:val="14"/>
              </w:rPr>
            </w:pPr>
            <w:r>
              <w:rPr>
                <w:sz w:val="14"/>
                <w:szCs w:val="14"/>
              </w:rPr>
              <w:t>78</w:t>
            </w:r>
          </w:p>
        </w:tc>
      </w:tr>
      <w:tr w:rsidR="00143725" w:rsidRPr="001F1691" w:rsidTr="00143725">
        <w:trPr>
          <w:trHeight w:val="210"/>
          <w:jc w:val="center"/>
        </w:trPr>
        <w:tc>
          <w:tcPr>
            <w:tcW w:w="926" w:type="dxa"/>
            <w:vAlign w:val="center"/>
          </w:tcPr>
          <w:p w:rsidR="00143725" w:rsidRPr="001F1691" w:rsidRDefault="00E74A46" w:rsidP="0035454B">
            <w:pPr>
              <w:spacing w:before="20" w:after="20" w:line="240" w:lineRule="auto"/>
              <w:jc w:val="center"/>
              <w:rPr>
                <w:color w:val="000000"/>
                <w:sz w:val="14"/>
                <w:szCs w:val="14"/>
              </w:rPr>
            </w:pPr>
            <w:r w:rsidRPr="001F1691">
              <w:rPr>
                <w:color w:val="000000"/>
                <w:sz w:val="14"/>
                <w:szCs w:val="14"/>
              </w:rPr>
              <w:t>1</w:t>
            </w:r>
            <w:r w:rsidR="0035454B">
              <w:rPr>
                <w:color w:val="000000"/>
                <w:sz w:val="14"/>
                <w:szCs w:val="14"/>
              </w:rPr>
              <w:t>1</w:t>
            </w:r>
            <w:r w:rsidRPr="001F1691">
              <w:rPr>
                <w:color w:val="000000"/>
                <w:sz w:val="14"/>
                <w:szCs w:val="14"/>
              </w:rPr>
              <w:t>.01</w:t>
            </w:r>
          </w:p>
        </w:tc>
        <w:tc>
          <w:tcPr>
            <w:tcW w:w="7018" w:type="dxa"/>
          </w:tcPr>
          <w:p w:rsidR="00F14AA9" w:rsidRPr="001F1691" w:rsidRDefault="007A126A" w:rsidP="007A126A">
            <w:pPr>
              <w:tabs>
                <w:tab w:val="right" w:leader="dot" w:pos="6975"/>
              </w:tabs>
              <w:spacing w:before="20" w:after="20" w:line="240" w:lineRule="auto"/>
              <w:jc w:val="left"/>
              <w:rPr>
                <w:color w:val="000000"/>
                <w:sz w:val="14"/>
                <w:szCs w:val="14"/>
              </w:rPr>
            </w:pPr>
            <w:r>
              <w:rPr>
                <w:color w:val="000000"/>
                <w:sz w:val="14"/>
                <w:szCs w:val="14"/>
              </w:rPr>
              <w:t>Evolution de la production  2010</w:t>
            </w:r>
            <w:r w:rsidR="00E74A46" w:rsidRPr="001F1691">
              <w:rPr>
                <w:color w:val="000000"/>
                <w:sz w:val="14"/>
                <w:szCs w:val="14"/>
              </w:rPr>
              <w:t>-201</w:t>
            </w:r>
            <w:r>
              <w:rPr>
                <w:color w:val="000000"/>
                <w:sz w:val="14"/>
                <w:szCs w:val="14"/>
              </w:rPr>
              <w:t>1</w:t>
            </w:r>
            <w:r w:rsidR="00E74A46" w:rsidRPr="001F1691">
              <w:rPr>
                <w:color w:val="000000"/>
                <w:sz w:val="14"/>
                <w:szCs w:val="14"/>
              </w:rPr>
              <w:t>.</w:t>
            </w:r>
            <w:r w:rsidR="00E74A46" w:rsidRPr="001F1691">
              <w:rPr>
                <w:color w:val="000000"/>
                <w:sz w:val="14"/>
                <w:szCs w:val="14"/>
              </w:rPr>
              <w:tab/>
            </w:r>
          </w:p>
        </w:tc>
        <w:tc>
          <w:tcPr>
            <w:tcW w:w="952" w:type="dxa"/>
            <w:vAlign w:val="center"/>
          </w:tcPr>
          <w:p w:rsidR="00143725" w:rsidRPr="001F1691" w:rsidRDefault="00AE5E72" w:rsidP="00F14AA9">
            <w:pPr>
              <w:spacing w:before="20" w:after="20" w:line="240" w:lineRule="auto"/>
              <w:jc w:val="left"/>
              <w:rPr>
                <w:color w:val="000000"/>
                <w:sz w:val="14"/>
                <w:szCs w:val="14"/>
              </w:rPr>
            </w:pPr>
            <w:r>
              <w:rPr>
                <w:color w:val="000000"/>
                <w:sz w:val="14"/>
                <w:szCs w:val="14"/>
              </w:rPr>
              <w:t>80</w:t>
            </w:r>
          </w:p>
        </w:tc>
      </w:tr>
      <w:tr w:rsidR="002B77B2" w:rsidRPr="001F1691" w:rsidTr="00143725">
        <w:trPr>
          <w:trHeight w:val="210"/>
          <w:jc w:val="center"/>
        </w:trPr>
        <w:tc>
          <w:tcPr>
            <w:tcW w:w="926" w:type="dxa"/>
            <w:vAlign w:val="center"/>
          </w:tcPr>
          <w:p w:rsidR="002B77B2" w:rsidRPr="001F1691" w:rsidRDefault="0035454B" w:rsidP="00F14AA9">
            <w:pPr>
              <w:spacing w:before="20" w:after="20" w:line="240" w:lineRule="auto"/>
              <w:jc w:val="center"/>
              <w:rPr>
                <w:color w:val="000000"/>
                <w:sz w:val="14"/>
                <w:szCs w:val="14"/>
              </w:rPr>
            </w:pPr>
            <w:r>
              <w:rPr>
                <w:color w:val="000000"/>
                <w:sz w:val="14"/>
                <w:szCs w:val="14"/>
              </w:rPr>
              <w:t>11</w:t>
            </w:r>
            <w:r w:rsidR="00E74A46" w:rsidRPr="001F1691">
              <w:rPr>
                <w:color w:val="000000"/>
                <w:sz w:val="14"/>
                <w:szCs w:val="14"/>
              </w:rPr>
              <w:t>.02</w:t>
            </w:r>
          </w:p>
        </w:tc>
        <w:tc>
          <w:tcPr>
            <w:tcW w:w="7018" w:type="dxa"/>
          </w:tcPr>
          <w:p w:rsidR="00F14AA9" w:rsidRPr="001F1691" w:rsidRDefault="00E74A46" w:rsidP="007A126A">
            <w:pPr>
              <w:tabs>
                <w:tab w:val="right" w:leader="dot" w:pos="6975"/>
              </w:tabs>
              <w:spacing w:before="20" w:after="20" w:line="240" w:lineRule="auto"/>
              <w:jc w:val="left"/>
              <w:rPr>
                <w:color w:val="000000"/>
                <w:sz w:val="14"/>
                <w:szCs w:val="14"/>
              </w:rPr>
            </w:pPr>
            <w:r w:rsidRPr="001F1691">
              <w:rPr>
                <w:color w:val="000000"/>
                <w:sz w:val="14"/>
                <w:szCs w:val="14"/>
              </w:rPr>
              <w:t>Production additionnelle par branche en 201</w:t>
            </w:r>
            <w:r w:rsidR="007A126A">
              <w:rPr>
                <w:color w:val="000000"/>
                <w:sz w:val="14"/>
                <w:szCs w:val="14"/>
              </w:rPr>
              <w:t>1</w:t>
            </w:r>
            <w:r w:rsidRPr="001F1691">
              <w:rPr>
                <w:color w:val="000000"/>
                <w:sz w:val="14"/>
                <w:szCs w:val="14"/>
              </w:rPr>
              <w:t>.</w:t>
            </w:r>
            <w:r w:rsidRPr="001F1691">
              <w:rPr>
                <w:color w:val="000000"/>
                <w:sz w:val="14"/>
                <w:szCs w:val="14"/>
              </w:rPr>
              <w:tab/>
            </w:r>
          </w:p>
        </w:tc>
        <w:tc>
          <w:tcPr>
            <w:tcW w:w="952" w:type="dxa"/>
            <w:vAlign w:val="center"/>
          </w:tcPr>
          <w:p w:rsidR="002B77B2" w:rsidRPr="001F1691" w:rsidRDefault="00E74A46" w:rsidP="00F14AA9">
            <w:pPr>
              <w:spacing w:before="20" w:after="20" w:line="240" w:lineRule="auto"/>
              <w:jc w:val="left"/>
              <w:rPr>
                <w:color w:val="000000"/>
                <w:sz w:val="14"/>
                <w:szCs w:val="14"/>
              </w:rPr>
            </w:pPr>
            <w:r w:rsidRPr="001F1691">
              <w:rPr>
                <w:color w:val="000000"/>
                <w:sz w:val="14"/>
                <w:szCs w:val="14"/>
              </w:rPr>
              <w:t>8</w:t>
            </w:r>
            <w:r w:rsidR="00AE5E72">
              <w:rPr>
                <w:color w:val="000000"/>
                <w:sz w:val="14"/>
                <w:szCs w:val="14"/>
              </w:rPr>
              <w:t>2</w:t>
            </w:r>
          </w:p>
        </w:tc>
      </w:tr>
      <w:tr w:rsidR="002B77B2" w:rsidRPr="001F1691" w:rsidTr="00143725">
        <w:trPr>
          <w:trHeight w:val="210"/>
          <w:jc w:val="center"/>
        </w:trPr>
        <w:tc>
          <w:tcPr>
            <w:tcW w:w="926" w:type="dxa"/>
            <w:vAlign w:val="center"/>
          </w:tcPr>
          <w:p w:rsidR="002B77B2" w:rsidRPr="001F1691" w:rsidRDefault="0035454B" w:rsidP="00F14AA9">
            <w:pPr>
              <w:spacing w:before="20" w:after="20" w:line="240" w:lineRule="auto"/>
              <w:jc w:val="center"/>
              <w:rPr>
                <w:color w:val="000000"/>
                <w:sz w:val="14"/>
                <w:szCs w:val="14"/>
              </w:rPr>
            </w:pPr>
            <w:r>
              <w:rPr>
                <w:color w:val="000000"/>
                <w:sz w:val="14"/>
                <w:szCs w:val="14"/>
              </w:rPr>
              <w:t>11</w:t>
            </w:r>
            <w:r w:rsidR="00E74A46" w:rsidRPr="001F1691">
              <w:rPr>
                <w:color w:val="000000"/>
                <w:sz w:val="14"/>
                <w:szCs w:val="14"/>
              </w:rPr>
              <w:t>.02 bis</w:t>
            </w:r>
          </w:p>
        </w:tc>
        <w:tc>
          <w:tcPr>
            <w:tcW w:w="7018" w:type="dxa"/>
          </w:tcPr>
          <w:p w:rsidR="00F14AA9" w:rsidRPr="001F1691" w:rsidRDefault="00E74A46" w:rsidP="007A126A">
            <w:pPr>
              <w:tabs>
                <w:tab w:val="right" w:leader="dot" w:pos="6975"/>
              </w:tabs>
              <w:spacing w:before="20" w:after="20" w:line="240" w:lineRule="auto"/>
              <w:jc w:val="left"/>
              <w:rPr>
                <w:color w:val="000000"/>
                <w:sz w:val="14"/>
                <w:szCs w:val="14"/>
              </w:rPr>
            </w:pPr>
            <w:r w:rsidRPr="001F1691">
              <w:rPr>
                <w:color w:val="000000"/>
                <w:sz w:val="14"/>
                <w:szCs w:val="14"/>
              </w:rPr>
              <w:t>Contribution à la production additionnelle 201</w:t>
            </w:r>
            <w:r w:rsidR="007A126A">
              <w:rPr>
                <w:color w:val="000000"/>
                <w:sz w:val="14"/>
                <w:szCs w:val="14"/>
              </w:rPr>
              <w:t>1</w:t>
            </w:r>
            <w:r w:rsidRPr="001F1691">
              <w:rPr>
                <w:color w:val="000000"/>
                <w:sz w:val="14"/>
                <w:szCs w:val="14"/>
              </w:rPr>
              <w:t xml:space="preserve"> par compagnie </w:t>
            </w:r>
            <w:r w:rsidRPr="001F1691">
              <w:rPr>
                <w:color w:val="000000"/>
                <w:sz w:val="14"/>
                <w:szCs w:val="14"/>
              </w:rPr>
              <w:tab/>
            </w:r>
          </w:p>
        </w:tc>
        <w:tc>
          <w:tcPr>
            <w:tcW w:w="952" w:type="dxa"/>
            <w:vAlign w:val="center"/>
          </w:tcPr>
          <w:p w:rsidR="002B77B2" w:rsidRPr="001F1691" w:rsidRDefault="00E74A46" w:rsidP="00F14AA9">
            <w:pPr>
              <w:spacing w:before="20" w:after="20" w:line="240" w:lineRule="auto"/>
              <w:jc w:val="left"/>
              <w:rPr>
                <w:color w:val="000000"/>
                <w:sz w:val="14"/>
                <w:szCs w:val="14"/>
              </w:rPr>
            </w:pPr>
            <w:r w:rsidRPr="001F1691">
              <w:rPr>
                <w:color w:val="000000"/>
                <w:sz w:val="14"/>
                <w:szCs w:val="14"/>
              </w:rPr>
              <w:t>8</w:t>
            </w:r>
            <w:r w:rsidR="00AE5E72">
              <w:rPr>
                <w:color w:val="000000"/>
                <w:sz w:val="14"/>
                <w:szCs w:val="14"/>
              </w:rPr>
              <w:t>3</w:t>
            </w:r>
          </w:p>
        </w:tc>
      </w:tr>
      <w:tr w:rsidR="002B77B2" w:rsidRPr="001F1691" w:rsidTr="00143725">
        <w:trPr>
          <w:trHeight w:val="210"/>
          <w:jc w:val="center"/>
        </w:trPr>
        <w:tc>
          <w:tcPr>
            <w:tcW w:w="926" w:type="dxa"/>
            <w:vAlign w:val="center"/>
          </w:tcPr>
          <w:p w:rsidR="002B77B2" w:rsidRPr="001F1691" w:rsidRDefault="0035454B" w:rsidP="00F14AA9">
            <w:pPr>
              <w:spacing w:before="20" w:after="20" w:line="240" w:lineRule="auto"/>
              <w:jc w:val="center"/>
              <w:rPr>
                <w:color w:val="000000"/>
                <w:sz w:val="14"/>
                <w:szCs w:val="14"/>
              </w:rPr>
            </w:pPr>
            <w:r>
              <w:rPr>
                <w:color w:val="000000"/>
                <w:sz w:val="14"/>
                <w:szCs w:val="14"/>
              </w:rPr>
              <w:t>11</w:t>
            </w:r>
            <w:r w:rsidR="00E74A46" w:rsidRPr="001F1691">
              <w:rPr>
                <w:color w:val="000000"/>
                <w:sz w:val="14"/>
                <w:szCs w:val="14"/>
              </w:rPr>
              <w:t>.04</w:t>
            </w:r>
          </w:p>
        </w:tc>
        <w:tc>
          <w:tcPr>
            <w:tcW w:w="7018" w:type="dxa"/>
          </w:tcPr>
          <w:p w:rsidR="00F14AA9" w:rsidRPr="001F1691" w:rsidRDefault="00E74A46" w:rsidP="007A126A">
            <w:pPr>
              <w:tabs>
                <w:tab w:val="right" w:leader="dot" w:pos="6975"/>
              </w:tabs>
              <w:spacing w:before="20" w:after="20" w:line="240" w:lineRule="auto"/>
              <w:jc w:val="left"/>
              <w:rPr>
                <w:color w:val="000000"/>
                <w:sz w:val="14"/>
                <w:szCs w:val="14"/>
              </w:rPr>
            </w:pPr>
            <w:r w:rsidRPr="001F1691">
              <w:rPr>
                <w:color w:val="000000"/>
                <w:sz w:val="14"/>
                <w:szCs w:val="14"/>
              </w:rPr>
              <w:t>Parts de marché des entreprises d'assurances 20</w:t>
            </w:r>
            <w:r w:rsidR="007A126A">
              <w:rPr>
                <w:color w:val="000000"/>
                <w:sz w:val="14"/>
                <w:szCs w:val="14"/>
              </w:rPr>
              <w:t>10</w:t>
            </w:r>
            <w:r w:rsidRPr="001F1691">
              <w:rPr>
                <w:color w:val="000000"/>
                <w:sz w:val="14"/>
                <w:szCs w:val="14"/>
              </w:rPr>
              <w:t>-201</w:t>
            </w:r>
            <w:r w:rsidR="007A126A">
              <w:rPr>
                <w:color w:val="000000"/>
                <w:sz w:val="14"/>
                <w:szCs w:val="14"/>
              </w:rPr>
              <w:t>1</w:t>
            </w:r>
            <w:r w:rsidRPr="001F1691">
              <w:rPr>
                <w:color w:val="000000"/>
                <w:sz w:val="14"/>
                <w:szCs w:val="14"/>
              </w:rPr>
              <w:t>.</w:t>
            </w:r>
            <w:r w:rsidRPr="001F1691">
              <w:rPr>
                <w:color w:val="000000"/>
                <w:sz w:val="14"/>
                <w:szCs w:val="14"/>
              </w:rPr>
              <w:tab/>
            </w:r>
          </w:p>
        </w:tc>
        <w:tc>
          <w:tcPr>
            <w:tcW w:w="952" w:type="dxa"/>
            <w:vAlign w:val="center"/>
          </w:tcPr>
          <w:p w:rsidR="002B77B2" w:rsidRPr="001F1691" w:rsidRDefault="00AE5E72" w:rsidP="00F14AA9">
            <w:pPr>
              <w:spacing w:before="20" w:after="20" w:line="240" w:lineRule="auto"/>
              <w:jc w:val="left"/>
              <w:rPr>
                <w:color w:val="000000"/>
                <w:sz w:val="14"/>
                <w:szCs w:val="14"/>
              </w:rPr>
            </w:pPr>
            <w:r>
              <w:rPr>
                <w:color w:val="000000"/>
                <w:sz w:val="14"/>
                <w:szCs w:val="14"/>
              </w:rPr>
              <w:t>85</w:t>
            </w:r>
          </w:p>
        </w:tc>
      </w:tr>
      <w:tr w:rsidR="002B77B2" w:rsidRPr="001F1691" w:rsidTr="00143725">
        <w:trPr>
          <w:trHeight w:val="210"/>
          <w:jc w:val="center"/>
        </w:trPr>
        <w:tc>
          <w:tcPr>
            <w:tcW w:w="926" w:type="dxa"/>
            <w:vAlign w:val="center"/>
          </w:tcPr>
          <w:p w:rsidR="002B77B2" w:rsidRPr="001F1691" w:rsidRDefault="0035454B" w:rsidP="00F14AA9">
            <w:pPr>
              <w:spacing w:before="20" w:after="20" w:line="240" w:lineRule="auto"/>
              <w:jc w:val="center"/>
              <w:rPr>
                <w:color w:val="000000"/>
                <w:sz w:val="14"/>
                <w:szCs w:val="14"/>
              </w:rPr>
            </w:pPr>
            <w:r>
              <w:rPr>
                <w:color w:val="000000"/>
                <w:sz w:val="14"/>
                <w:szCs w:val="14"/>
              </w:rPr>
              <w:t>11</w:t>
            </w:r>
            <w:r w:rsidR="00E74A46" w:rsidRPr="001F1691">
              <w:rPr>
                <w:color w:val="000000"/>
                <w:sz w:val="14"/>
                <w:szCs w:val="14"/>
              </w:rPr>
              <w:t>.05</w:t>
            </w:r>
          </w:p>
        </w:tc>
        <w:tc>
          <w:tcPr>
            <w:tcW w:w="7018" w:type="dxa"/>
          </w:tcPr>
          <w:p w:rsidR="00F14AA9" w:rsidRPr="001F1691" w:rsidRDefault="00E74A46">
            <w:pPr>
              <w:tabs>
                <w:tab w:val="right" w:leader="dot" w:pos="6975"/>
              </w:tabs>
              <w:spacing w:before="20" w:after="20" w:line="240" w:lineRule="auto"/>
              <w:jc w:val="left"/>
              <w:rPr>
                <w:color w:val="000000"/>
                <w:sz w:val="14"/>
                <w:szCs w:val="14"/>
              </w:rPr>
            </w:pPr>
            <w:r w:rsidRPr="001F1691">
              <w:rPr>
                <w:color w:val="000000"/>
                <w:sz w:val="14"/>
                <w:szCs w:val="14"/>
              </w:rPr>
              <w:t>Taux de pénétration et densité  de l’assurance.</w:t>
            </w:r>
            <w:r w:rsidRPr="001F1691">
              <w:rPr>
                <w:color w:val="000000"/>
                <w:sz w:val="14"/>
                <w:szCs w:val="14"/>
              </w:rPr>
              <w:tab/>
            </w:r>
          </w:p>
        </w:tc>
        <w:tc>
          <w:tcPr>
            <w:tcW w:w="952" w:type="dxa"/>
            <w:vAlign w:val="center"/>
          </w:tcPr>
          <w:p w:rsidR="002B77B2" w:rsidRPr="001F1691" w:rsidRDefault="00AE5E72" w:rsidP="00F14AA9">
            <w:pPr>
              <w:spacing w:before="20" w:after="20" w:line="240" w:lineRule="auto"/>
              <w:jc w:val="left"/>
              <w:rPr>
                <w:color w:val="000000"/>
                <w:sz w:val="14"/>
                <w:szCs w:val="14"/>
              </w:rPr>
            </w:pPr>
            <w:r>
              <w:rPr>
                <w:color w:val="000000"/>
                <w:sz w:val="14"/>
                <w:szCs w:val="14"/>
              </w:rPr>
              <w:t>88</w:t>
            </w:r>
          </w:p>
        </w:tc>
      </w:tr>
    </w:tbl>
    <w:p w:rsidR="00726951" w:rsidRPr="001F1691" w:rsidRDefault="00726951" w:rsidP="00425A69">
      <w:pPr>
        <w:spacing w:after="240"/>
        <w:rPr>
          <w:color w:val="000000"/>
        </w:rPr>
      </w:pPr>
    </w:p>
    <w:p w:rsidR="005222C4" w:rsidRPr="001F1691" w:rsidRDefault="005222C4" w:rsidP="00425A69">
      <w:pPr>
        <w:spacing w:after="240"/>
        <w:rPr>
          <w:color w:val="000000"/>
        </w:rPr>
      </w:pPr>
    </w:p>
    <w:p w:rsidR="005222C4" w:rsidRDefault="005222C4" w:rsidP="00425A69">
      <w:pPr>
        <w:spacing w:after="240"/>
        <w:rPr>
          <w:color w:val="000000"/>
        </w:rPr>
      </w:pPr>
    </w:p>
    <w:p w:rsidR="003B4DC9" w:rsidRPr="001F1691" w:rsidRDefault="003B4DC9" w:rsidP="00425A69">
      <w:pPr>
        <w:spacing w:after="240"/>
        <w:rPr>
          <w:color w:val="000000"/>
        </w:rPr>
      </w:pPr>
    </w:p>
    <w:p w:rsidR="00726951" w:rsidRPr="001F1691" w:rsidRDefault="00E74A46" w:rsidP="00726951">
      <w:pPr>
        <w:spacing w:after="0" w:line="240" w:lineRule="auto"/>
        <w:rPr>
          <w:color w:val="000000"/>
        </w:rPr>
      </w:pPr>
      <w:r w:rsidRPr="001F1691">
        <w:rPr>
          <w:color w:val="000000"/>
        </w:rPr>
        <w:t>Liste des graphiques :</w:t>
      </w:r>
    </w:p>
    <w:tbl>
      <w:tblPr>
        <w:tblW w:w="0" w:type="auto"/>
        <w:jc w:val="center"/>
        <w:tblCellMar>
          <w:left w:w="70" w:type="dxa"/>
          <w:right w:w="70" w:type="dxa"/>
        </w:tblCellMar>
        <w:tblLook w:val="0000"/>
      </w:tblPr>
      <w:tblGrid>
        <w:gridCol w:w="867"/>
        <w:gridCol w:w="6973"/>
        <w:gridCol w:w="1034"/>
      </w:tblGrid>
      <w:tr w:rsidR="00726951" w:rsidRPr="001F1691" w:rsidTr="00726951">
        <w:trPr>
          <w:trHeight w:val="460"/>
          <w:jc w:val="center"/>
        </w:trPr>
        <w:tc>
          <w:tcPr>
            <w:tcW w:w="867" w:type="dxa"/>
            <w:vAlign w:val="center"/>
          </w:tcPr>
          <w:p w:rsidR="00726951" w:rsidRPr="001F1691" w:rsidRDefault="00E74A46" w:rsidP="00726951">
            <w:pPr>
              <w:spacing w:before="20" w:after="20" w:line="240" w:lineRule="auto"/>
              <w:jc w:val="center"/>
              <w:rPr>
                <w:rFonts w:cs="Tahoma"/>
                <w:color w:val="000000"/>
                <w:sz w:val="16"/>
                <w:szCs w:val="16"/>
              </w:rPr>
            </w:pPr>
            <w:r w:rsidRPr="001F1691">
              <w:rPr>
                <w:rFonts w:cs="Tahoma"/>
                <w:color w:val="000000"/>
                <w:sz w:val="16"/>
                <w:szCs w:val="16"/>
              </w:rPr>
              <w:t>N°</w:t>
            </w:r>
          </w:p>
        </w:tc>
        <w:tc>
          <w:tcPr>
            <w:tcW w:w="6973" w:type="dxa"/>
            <w:vAlign w:val="center"/>
          </w:tcPr>
          <w:p w:rsidR="00726951" w:rsidRPr="001F1691" w:rsidRDefault="00E74A46" w:rsidP="00726951">
            <w:pPr>
              <w:spacing w:before="20" w:after="20" w:line="240" w:lineRule="auto"/>
              <w:rPr>
                <w:rFonts w:cs="Tahoma"/>
                <w:color w:val="000000"/>
                <w:sz w:val="16"/>
                <w:szCs w:val="16"/>
              </w:rPr>
            </w:pPr>
            <w:r w:rsidRPr="001F1691">
              <w:rPr>
                <w:rFonts w:cs="Tahoma"/>
                <w:color w:val="000000"/>
                <w:sz w:val="16"/>
                <w:szCs w:val="16"/>
              </w:rPr>
              <w:t>Intitulé du graphique</w:t>
            </w:r>
          </w:p>
        </w:tc>
        <w:tc>
          <w:tcPr>
            <w:tcW w:w="1034" w:type="dxa"/>
            <w:vAlign w:val="center"/>
          </w:tcPr>
          <w:p w:rsidR="00726951" w:rsidRPr="001F1691" w:rsidRDefault="00E74A46" w:rsidP="00726951">
            <w:pPr>
              <w:spacing w:before="20" w:after="20" w:line="240" w:lineRule="auto"/>
              <w:jc w:val="left"/>
              <w:rPr>
                <w:rFonts w:cs="Tahoma"/>
                <w:color w:val="000000"/>
                <w:sz w:val="16"/>
                <w:szCs w:val="16"/>
              </w:rPr>
            </w:pPr>
            <w:r w:rsidRPr="001F1691">
              <w:rPr>
                <w:rFonts w:cs="Tahoma"/>
                <w:color w:val="000000"/>
                <w:sz w:val="16"/>
                <w:szCs w:val="16"/>
              </w:rPr>
              <w:t>N° de page</w:t>
            </w:r>
          </w:p>
        </w:tc>
      </w:tr>
      <w:tr w:rsidR="00726951" w:rsidRPr="001F1691" w:rsidTr="00726951">
        <w:trPr>
          <w:jc w:val="center"/>
        </w:trPr>
        <w:tc>
          <w:tcPr>
            <w:tcW w:w="867" w:type="dxa"/>
          </w:tcPr>
          <w:p w:rsidR="00CA5C9D" w:rsidRPr="001F1691" w:rsidRDefault="00E74A46">
            <w:pPr>
              <w:spacing w:before="20" w:after="20" w:line="240" w:lineRule="auto"/>
              <w:jc w:val="center"/>
              <w:rPr>
                <w:rFonts w:cs="Tahoma"/>
                <w:color w:val="000000"/>
                <w:sz w:val="14"/>
                <w:szCs w:val="16"/>
              </w:rPr>
            </w:pPr>
            <w:r w:rsidRPr="001F1691">
              <w:rPr>
                <w:rFonts w:cs="Tahoma"/>
                <w:color w:val="000000"/>
                <w:sz w:val="14"/>
                <w:szCs w:val="16"/>
              </w:rPr>
              <w:t xml:space="preserve">G. </w:t>
            </w:r>
            <w:r w:rsidR="00B25118">
              <w:rPr>
                <w:rFonts w:cs="Tahoma"/>
                <w:color w:val="000000"/>
                <w:sz w:val="14"/>
                <w:szCs w:val="16"/>
              </w:rPr>
              <w:t>10</w:t>
            </w:r>
            <w:r w:rsidRPr="001F1691">
              <w:rPr>
                <w:rFonts w:cs="Tahoma"/>
                <w:color w:val="000000"/>
                <w:sz w:val="14"/>
                <w:szCs w:val="16"/>
              </w:rPr>
              <w:t>.01</w:t>
            </w:r>
          </w:p>
        </w:tc>
        <w:tc>
          <w:tcPr>
            <w:tcW w:w="6973" w:type="dxa"/>
          </w:tcPr>
          <w:p w:rsidR="00CA5C9D" w:rsidRPr="001F1691" w:rsidRDefault="00E74A46">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 la production en 20</w:t>
            </w:r>
            <w:r w:rsidR="007645C6">
              <w:rPr>
                <w:rFonts w:cs="Tahoma"/>
                <w:color w:val="000000"/>
                <w:sz w:val="14"/>
                <w:szCs w:val="16"/>
              </w:rPr>
              <w:t>10</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2</w:t>
            </w:r>
            <w:r w:rsidR="007645C6">
              <w:rPr>
                <w:rFonts w:cs="Tahoma"/>
                <w:color w:val="000000"/>
                <w:sz w:val="14"/>
                <w:szCs w:val="16"/>
              </w:rPr>
              <w:t>9</w:t>
            </w:r>
          </w:p>
        </w:tc>
      </w:tr>
      <w:tr w:rsidR="00726951" w:rsidRPr="001F1691" w:rsidTr="00726951">
        <w:trPr>
          <w:jc w:val="center"/>
        </w:trPr>
        <w:tc>
          <w:tcPr>
            <w:tcW w:w="867" w:type="dxa"/>
          </w:tcPr>
          <w:p w:rsidR="00726951" w:rsidRPr="001F1691" w:rsidRDefault="00E74A46" w:rsidP="00726951">
            <w:pPr>
              <w:spacing w:before="20" w:after="20" w:line="240" w:lineRule="auto"/>
              <w:jc w:val="center"/>
              <w:rPr>
                <w:rFonts w:cs="Tahoma"/>
                <w:color w:val="000000"/>
                <w:sz w:val="14"/>
                <w:szCs w:val="16"/>
              </w:rPr>
            </w:pPr>
            <w:r w:rsidRPr="001F1691">
              <w:rPr>
                <w:rFonts w:cs="Tahoma"/>
                <w:color w:val="000000"/>
                <w:sz w:val="14"/>
                <w:szCs w:val="16"/>
              </w:rPr>
              <w:t xml:space="preserve">G. </w:t>
            </w:r>
            <w:r w:rsidR="00B25118">
              <w:rPr>
                <w:rFonts w:cs="Tahoma"/>
                <w:color w:val="000000"/>
                <w:sz w:val="14"/>
                <w:szCs w:val="16"/>
              </w:rPr>
              <w:t>10</w:t>
            </w:r>
            <w:r w:rsidRPr="001F1691">
              <w:rPr>
                <w:rFonts w:cs="Tahoma"/>
                <w:color w:val="000000"/>
                <w:sz w:val="14"/>
                <w:szCs w:val="16"/>
              </w:rPr>
              <w:t>.02</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Parts de marché en 20</w:t>
            </w:r>
            <w:r w:rsidR="007645C6">
              <w:rPr>
                <w:rFonts w:cs="Tahoma"/>
                <w:color w:val="000000"/>
                <w:sz w:val="14"/>
                <w:szCs w:val="16"/>
              </w:rPr>
              <w:t>10</w:t>
            </w:r>
            <w:r w:rsidRPr="001F1691">
              <w:rPr>
                <w:rFonts w:cs="Tahoma"/>
                <w:color w:val="000000"/>
                <w:sz w:val="14"/>
                <w:szCs w:val="16"/>
              </w:rPr>
              <w:tab/>
            </w:r>
          </w:p>
        </w:tc>
        <w:tc>
          <w:tcPr>
            <w:tcW w:w="1034" w:type="dxa"/>
            <w:vAlign w:val="center"/>
          </w:tcPr>
          <w:p w:rsidR="00726951" w:rsidRPr="001F1691" w:rsidRDefault="007645C6" w:rsidP="00726951">
            <w:pPr>
              <w:spacing w:before="20" w:after="20" w:line="240" w:lineRule="auto"/>
              <w:jc w:val="left"/>
              <w:rPr>
                <w:rFonts w:cs="Tahoma"/>
                <w:color w:val="000000"/>
                <w:sz w:val="14"/>
                <w:szCs w:val="16"/>
              </w:rPr>
            </w:pPr>
            <w:r>
              <w:rPr>
                <w:rFonts w:cs="Tahoma"/>
                <w:color w:val="000000"/>
                <w:sz w:val="14"/>
                <w:szCs w:val="16"/>
              </w:rPr>
              <w:t>31</w:t>
            </w:r>
          </w:p>
        </w:tc>
      </w:tr>
      <w:tr w:rsidR="00726951" w:rsidRPr="001F1691" w:rsidTr="00726951">
        <w:trPr>
          <w:jc w:val="center"/>
        </w:trPr>
        <w:tc>
          <w:tcPr>
            <w:tcW w:w="867" w:type="dxa"/>
          </w:tcPr>
          <w:p w:rsidR="00726951" w:rsidRPr="001F1691" w:rsidRDefault="00E74A46" w:rsidP="00B25118">
            <w:pPr>
              <w:spacing w:before="20" w:after="20" w:line="240" w:lineRule="auto"/>
              <w:jc w:val="center"/>
              <w:rPr>
                <w:rFonts w:cs="Tahoma"/>
                <w:color w:val="000000"/>
                <w:sz w:val="14"/>
                <w:szCs w:val="16"/>
              </w:rPr>
            </w:pPr>
            <w:r w:rsidRPr="001F1691">
              <w:rPr>
                <w:rFonts w:cs="Tahoma"/>
                <w:color w:val="000000"/>
                <w:sz w:val="14"/>
                <w:szCs w:val="16"/>
              </w:rPr>
              <w:t xml:space="preserve">G. </w:t>
            </w:r>
            <w:r w:rsidR="00B25118">
              <w:rPr>
                <w:rFonts w:cs="Tahoma"/>
                <w:color w:val="000000"/>
                <w:sz w:val="14"/>
                <w:szCs w:val="16"/>
              </w:rPr>
              <w:t>10</w:t>
            </w:r>
            <w:r w:rsidRPr="001F1691">
              <w:rPr>
                <w:rFonts w:cs="Tahoma"/>
                <w:color w:val="000000"/>
                <w:sz w:val="14"/>
                <w:szCs w:val="16"/>
              </w:rPr>
              <w:t>.03</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Comparaisons maghrébines</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4</w:t>
            </w:r>
          </w:p>
        </w:tc>
      </w:tr>
      <w:tr w:rsidR="00726951" w:rsidRPr="001F1691" w:rsidTr="00726951">
        <w:trPr>
          <w:jc w:val="center"/>
        </w:trPr>
        <w:tc>
          <w:tcPr>
            <w:tcW w:w="867" w:type="dxa"/>
          </w:tcPr>
          <w:p w:rsidR="00726951" w:rsidRPr="001F1691" w:rsidRDefault="00E74A46" w:rsidP="00726951">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.07</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Illustration du taux de pénétration et de la densité</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4</w:t>
            </w:r>
          </w:p>
        </w:tc>
      </w:tr>
      <w:tr w:rsidR="00726951" w:rsidRPr="001F1691" w:rsidTr="00726951">
        <w:trPr>
          <w:jc w:val="center"/>
        </w:trPr>
        <w:tc>
          <w:tcPr>
            <w:tcW w:w="867" w:type="dxa"/>
          </w:tcPr>
          <w:p w:rsidR="00726951" w:rsidRPr="001F1691" w:rsidRDefault="00E74A46" w:rsidP="00726951">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.04</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 la production 20</w:t>
            </w:r>
            <w:r w:rsidR="007645C6">
              <w:rPr>
                <w:rFonts w:cs="Tahoma"/>
                <w:color w:val="000000"/>
                <w:sz w:val="14"/>
                <w:szCs w:val="16"/>
              </w:rPr>
              <w:t>10</w:t>
            </w:r>
            <w:r w:rsidRPr="001F1691">
              <w:rPr>
                <w:rFonts w:cs="Tahoma"/>
                <w:color w:val="000000"/>
                <w:sz w:val="14"/>
                <w:szCs w:val="16"/>
              </w:rPr>
              <w:t xml:space="preserve"> en Algérie</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5</w:t>
            </w:r>
          </w:p>
        </w:tc>
      </w:tr>
      <w:tr w:rsidR="00726951" w:rsidRPr="001F1691" w:rsidTr="00726951">
        <w:trPr>
          <w:jc w:val="center"/>
        </w:trPr>
        <w:tc>
          <w:tcPr>
            <w:tcW w:w="867" w:type="dxa"/>
          </w:tcPr>
          <w:p w:rsidR="00726951" w:rsidRPr="001F1691" w:rsidRDefault="00E74A46" w:rsidP="00726951">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.05</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 la production 20</w:t>
            </w:r>
            <w:r w:rsidR="007645C6">
              <w:rPr>
                <w:rFonts w:cs="Tahoma"/>
                <w:color w:val="000000"/>
                <w:sz w:val="14"/>
                <w:szCs w:val="16"/>
              </w:rPr>
              <w:t>10</w:t>
            </w:r>
            <w:r w:rsidRPr="001F1691">
              <w:rPr>
                <w:rFonts w:cs="Tahoma"/>
                <w:color w:val="000000"/>
                <w:sz w:val="14"/>
                <w:szCs w:val="16"/>
              </w:rPr>
              <w:t xml:space="preserve"> en Tunisie</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5</w:t>
            </w:r>
          </w:p>
        </w:tc>
      </w:tr>
      <w:tr w:rsidR="00726951" w:rsidRPr="001F1691" w:rsidTr="00726951">
        <w:trPr>
          <w:jc w:val="center"/>
        </w:trPr>
        <w:tc>
          <w:tcPr>
            <w:tcW w:w="867" w:type="dxa"/>
          </w:tcPr>
          <w:p w:rsidR="00726951" w:rsidRPr="001F1691" w:rsidRDefault="00E74A46" w:rsidP="00726951">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.06</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 la production 20</w:t>
            </w:r>
            <w:r w:rsidR="007645C6">
              <w:rPr>
                <w:rFonts w:cs="Tahoma"/>
                <w:color w:val="000000"/>
                <w:sz w:val="14"/>
                <w:szCs w:val="16"/>
              </w:rPr>
              <w:t>10</w:t>
            </w:r>
            <w:r w:rsidRPr="001F1691">
              <w:rPr>
                <w:rFonts w:cs="Tahoma"/>
                <w:color w:val="000000"/>
                <w:sz w:val="14"/>
                <w:szCs w:val="16"/>
              </w:rPr>
              <w:t xml:space="preserve"> au Maroc</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5</w:t>
            </w:r>
          </w:p>
        </w:tc>
      </w:tr>
      <w:tr w:rsidR="00726951" w:rsidRPr="001F1691" w:rsidTr="00726951">
        <w:trPr>
          <w:jc w:val="center"/>
        </w:trPr>
        <w:tc>
          <w:tcPr>
            <w:tcW w:w="867" w:type="dxa"/>
          </w:tcPr>
          <w:p w:rsidR="00CA5C9D"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.08</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des assurances des ménages en 20</w:t>
            </w:r>
            <w:r w:rsidR="007645C6">
              <w:rPr>
                <w:rFonts w:cs="Tahoma"/>
                <w:color w:val="000000"/>
                <w:sz w:val="14"/>
                <w:szCs w:val="16"/>
              </w:rPr>
              <w:t>10</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3</w:t>
            </w:r>
            <w:r w:rsidR="007645C6">
              <w:rPr>
                <w:rFonts w:cs="Tahoma"/>
                <w:color w:val="000000"/>
                <w:sz w:val="14"/>
                <w:szCs w:val="16"/>
              </w:rPr>
              <w:t>8</w:t>
            </w:r>
          </w:p>
        </w:tc>
      </w:tr>
      <w:tr w:rsidR="00726951" w:rsidRPr="001F1691" w:rsidTr="00726951">
        <w:trPr>
          <w:jc w:val="center"/>
        </w:trPr>
        <w:tc>
          <w:tcPr>
            <w:tcW w:w="867" w:type="dxa"/>
          </w:tcPr>
          <w:p w:rsidR="00F14AA9"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.09</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Structure des acceptations nationales de la CCR par branche: Exercice 20</w:t>
            </w:r>
            <w:r w:rsidR="007645C6">
              <w:rPr>
                <w:rFonts w:cs="Tahoma"/>
                <w:color w:val="000000"/>
                <w:sz w:val="14"/>
                <w:szCs w:val="16"/>
              </w:rPr>
              <w:t>10</w:t>
            </w:r>
            <w:r w:rsidRPr="001F1691">
              <w:rPr>
                <w:rFonts w:cs="Tahoma"/>
                <w:color w:val="000000"/>
                <w:sz w:val="14"/>
                <w:szCs w:val="16"/>
              </w:rPr>
              <w:tab/>
            </w:r>
          </w:p>
        </w:tc>
        <w:tc>
          <w:tcPr>
            <w:tcW w:w="1034" w:type="dxa"/>
            <w:vAlign w:val="center"/>
          </w:tcPr>
          <w:p w:rsidR="00726951" w:rsidRPr="001F1691" w:rsidRDefault="007645C6" w:rsidP="00726951">
            <w:pPr>
              <w:spacing w:before="20" w:after="20" w:line="240" w:lineRule="auto"/>
              <w:jc w:val="left"/>
              <w:rPr>
                <w:rFonts w:cs="Tahoma"/>
                <w:color w:val="000000"/>
                <w:sz w:val="14"/>
                <w:szCs w:val="16"/>
              </w:rPr>
            </w:pPr>
            <w:r>
              <w:rPr>
                <w:rFonts w:cs="Tahoma"/>
                <w:color w:val="000000"/>
                <w:sz w:val="14"/>
                <w:szCs w:val="16"/>
              </w:rPr>
              <w:t>58</w:t>
            </w:r>
          </w:p>
        </w:tc>
      </w:tr>
      <w:tr w:rsidR="00726951" w:rsidRPr="001F1691" w:rsidTr="00726951">
        <w:trPr>
          <w:jc w:val="center"/>
        </w:trPr>
        <w:tc>
          <w:tcPr>
            <w:tcW w:w="867" w:type="dxa"/>
          </w:tcPr>
          <w:p w:rsidR="00F14AA9"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.10</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Répartition des effectifs employés par compagnie</w:t>
            </w:r>
            <w:r w:rsidRPr="001F1691">
              <w:rPr>
                <w:rFonts w:cs="Tahoma"/>
                <w:color w:val="000000"/>
                <w:sz w:val="14"/>
                <w:szCs w:val="16"/>
              </w:rPr>
              <w:tab/>
            </w:r>
          </w:p>
        </w:tc>
        <w:tc>
          <w:tcPr>
            <w:tcW w:w="1034" w:type="dxa"/>
            <w:vAlign w:val="center"/>
          </w:tcPr>
          <w:p w:rsidR="00726951" w:rsidRPr="001F1691" w:rsidRDefault="007645C6" w:rsidP="00726951">
            <w:pPr>
              <w:spacing w:before="20" w:after="20" w:line="240" w:lineRule="auto"/>
              <w:jc w:val="left"/>
              <w:rPr>
                <w:rFonts w:cs="Tahoma"/>
                <w:color w:val="000000"/>
                <w:sz w:val="14"/>
                <w:szCs w:val="16"/>
              </w:rPr>
            </w:pPr>
            <w:r>
              <w:rPr>
                <w:rFonts w:cs="Tahoma"/>
                <w:color w:val="000000"/>
                <w:sz w:val="14"/>
                <w:szCs w:val="16"/>
              </w:rPr>
              <w:t>69</w:t>
            </w:r>
          </w:p>
        </w:tc>
      </w:tr>
      <w:tr w:rsidR="00726951" w:rsidRPr="001F1691" w:rsidTr="00726951">
        <w:trPr>
          <w:jc w:val="center"/>
        </w:trPr>
        <w:tc>
          <w:tcPr>
            <w:tcW w:w="867" w:type="dxa"/>
          </w:tcPr>
          <w:p w:rsidR="00F14AA9"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.11</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Répartition des effectifs employés par les AGA</w:t>
            </w:r>
            <w:r w:rsidRPr="001F1691">
              <w:rPr>
                <w:rFonts w:cs="Tahoma"/>
                <w:color w:val="000000"/>
                <w:sz w:val="14"/>
                <w:szCs w:val="16"/>
              </w:rPr>
              <w:tab/>
            </w:r>
          </w:p>
        </w:tc>
        <w:tc>
          <w:tcPr>
            <w:tcW w:w="1034" w:type="dxa"/>
            <w:vAlign w:val="center"/>
          </w:tcPr>
          <w:p w:rsidR="00726951" w:rsidRPr="001F1691" w:rsidRDefault="007645C6" w:rsidP="00726951">
            <w:pPr>
              <w:spacing w:before="20" w:after="20" w:line="240" w:lineRule="auto"/>
              <w:jc w:val="left"/>
              <w:rPr>
                <w:rFonts w:cs="Tahoma"/>
                <w:color w:val="000000"/>
                <w:sz w:val="14"/>
                <w:szCs w:val="16"/>
              </w:rPr>
            </w:pPr>
            <w:r>
              <w:rPr>
                <w:rFonts w:cs="Tahoma"/>
                <w:color w:val="000000"/>
                <w:sz w:val="14"/>
                <w:szCs w:val="16"/>
              </w:rPr>
              <w:t>70</w:t>
            </w:r>
          </w:p>
        </w:tc>
      </w:tr>
      <w:tr w:rsidR="00726951" w:rsidRPr="001F1691" w:rsidTr="00726951">
        <w:trPr>
          <w:jc w:val="center"/>
        </w:trPr>
        <w:tc>
          <w:tcPr>
            <w:tcW w:w="867" w:type="dxa"/>
          </w:tcPr>
          <w:p w:rsidR="00F14AA9"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.12</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Répartition des effectifs par grade</w:t>
            </w:r>
            <w:r w:rsidRPr="001F1691">
              <w:rPr>
                <w:rFonts w:cs="Tahoma"/>
                <w:color w:val="000000"/>
                <w:sz w:val="14"/>
                <w:szCs w:val="16"/>
              </w:rPr>
              <w:tab/>
            </w:r>
          </w:p>
        </w:tc>
        <w:tc>
          <w:tcPr>
            <w:tcW w:w="1034" w:type="dxa"/>
            <w:vAlign w:val="center"/>
          </w:tcPr>
          <w:p w:rsidR="00726951" w:rsidRPr="001F1691" w:rsidRDefault="007645C6" w:rsidP="00726951">
            <w:pPr>
              <w:spacing w:before="20" w:after="20" w:line="240" w:lineRule="auto"/>
              <w:jc w:val="left"/>
              <w:rPr>
                <w:rFonts w:cs="Tahoma"/>
                <w:color w:val="000000"/>
                <w:sz w:val="14"/>
                <w:szCs w:val="16"/>
              </w:rPr>
            </w:pPr>
            <w:r>
              <w:rPr>
                <w:rFonts w:cs="Tahoma"/>
                <w:color w:val="000000"/>
                <w:sz w:val="14"/>
                <w:szCs w:val="16"/>
              </w:rPr>
              <w:t>71</w:t>
            </w:r>
          </w:p>
        </w:tc>
      </w:tr>
      <w:tr w:rsidR="00726951" w:rsidRPr="001F1691" w:rsidTr="00726951">
        <w:trPr>
          <w:jc w:val="center"/>
        </w:trPr>
        <w:tc>
          <w:tcPr>
            <w:tcW w:w="867" w:type="dxa"/>
          </w:tcPr>
          <w:p w:rsidR="00F14AA9" w:rsidRPr="001F1691" w:rsidRDefault="00B25118">
            <w:pPr>
              <w:spacing w:before="20" w:after="20" w:line="240" w:lineRule="auto"/>
              <w:jc w:val="center"/>
              <w:rPr>
                <w:rFonts w:cs="Tahoma"/>
                <w:color w:val="000000"/>
                <w:sz w:val="14"/>
                <w:szCs w:val="16"/>
              </w:rPr>
            </w:pPr>
            <w:r>
              <w:rPr>
                <w:rFonts w:cs="Tahoma"/>
                <w:color w:val="000000"/>
                <w:sz w:val="14"/>
                <w:szCs w:val="16"/>
              </w:rPr>
              <w:t>G. 10</w:t>
            </w:r>
            <w:r w:rsidR="00E74A46" w:rsidRPr="001F1691">
              <w:rPr>
                <w:rFonts w:cs="Tahoma"/>
                <w:color w:val="000000"/>
                <w:sz w:val="14"/>
                <w:szCs w:val="16"/>
              </w:rPr>
              <w:t>.13</w:t>
            </w:r>
          </w:p>
        </w:tc>
        <w:tc>
          <w:tcPr>
            <w:tcW w:w="6973" w:type="dxa"/>
          </w:tcPr>
          <w:p w:rsidR="00726951"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Répartition des effectifs par âge</w:t>
            </w:r>
            <w:r w:rsidRPr="001F1691">
              <w:rPr>
                <w:rFonts w:cs="Tahoma"/>
                <w:color w:val="000000"/>
                <w:sz w:val="14"/>
                <w:szCs w:val="16"/>
              </w:rPr>
              <w:tab/>
            </w:r>
          </w:p>
        </w:tc>
        <w:tc>
          <w:tcPr>
            <w:tcW w:w="1034" w:type="dxa"/>
            <w:vAlign w:val="center"/>
          </w:tcPr>
          <w:p w:rsidR="00726951"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7</w:t>
            </w:r>
            <w:r w:rsidR="007645C6">
              <w:rPr>
                <w:rFonts w:cs="Tahoma"/>
                <w:color w:val="000000"/>
                <w:sz w:val="14"/>
                <w:szCs w:val="16"/>
              </w:rPr>
              <w:t>3</w:t>
            </w:r>
          </w:p>
        </w:tc>
      </w:tr>
      <w:tr w:rsidR="00F60A17" w:rsidRPr="001F1691" w:rsidTr="00726951">
        <w:trPr>
          <w:jc w:val="center"/>
        </w:trPr>
        <w:tc>
          <w:tcPr>
            <w:tcW w:w="867" w:type="dxa"/>
          </w:tcPr>
          <w:p w:rsidR="00F14AA9" w:rsidRPr="001F1691" w:rsidRDefault="00E74A46">
            <w:pPr>
              <w:spacing w:before="20" w:after="20" w:line="240" w:lineRule="auto"/>
              <w:jc w:val="center"/>
              <w:rPr>
                <w:rFonts w:cs="Tahoma"/>
                <w:color w:val="000000"/>
                <w:sz w:val="14"/>
                <w:szCs w:val="16"/>
              </w:rPr>
            </w:pPr>
            <w:r w:rsidRPr="001F1691">
              <w:rPr>
                <w:rFonts w:cs="Tahoma"/>
                <w:color w:val="000000"/>
                <w:sz w:val="14"/>
                <w:szCs w:val="16"/>
              </w:rPr>
              <w:t>G.</w:t>
            </w:r>
            <w:r w:rsidR="00B25118">
              <w:rPr>
                <w:rFonts w:cs="Tahoma"/>
                <w:color w:val="000000"/>
                <w:sz w:val="14"/>
                <w:szCs w:val="16"/>
              </w:rPr>
              <w:t xml:space="preserve"> 10</w:t>
            </w:r>
            <w:r w:rsidRPr="001F1691">
              <w:rPr>
                <w:rFonts w:cs="Tahoma"/>
                <w:color w:val="000000"/>
                <w:sz w:val="14"/>
                <w:szCs w:val="16"/>
              </w:rPr>
              <w:t>.14</w:t>
            </w:r>
          </w:p>
        </w:tc>
        <w:tc>
          <w:tcPr>
            <w:tcW w:w="6973" w:type="dxa"/>
          </w:tcPr>
          <w:p w:rsidR="00F14AA9" w:rsidRPr="001F1691" w:rsidRDefault="00E74A46">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Répartition des effectifs par wilaya en 20</w:t>
            </w:r>
            <w:r w:rsidR="007645C6">
              <w:rPr>
                <w:rFonts w:cs="Tahoma"/>
                <w:color w:val="000000"/>
                <w:sz w:val="14"/>
                <w:szCs w:val="16"/>
              </w:rPr>
              <w:t>10</w:t>
            </w:r>
            <w:r w:rsidRPr="001F1691">
              <w:rPr>
                <w:rFonts w:cs="Tahoma"/>
                <w:color w:val="000000"/>
                <w:sz w:val="14"/>
                <w:szCs w:val="16"/>
              </w:rPr>
              <w:tab/>
            </w:r>
          </w:p>
        </w:tc>
        <w:tc>
          <w:tcPr>
            <w:tcW w:w="1034" w:type="dxa"/>
            <w:vAlign w:val="center"/>
          </w:tcPr>
          <w:p w:rsidR="00F60A17" w:rsidRPr="001F1691" w:rsidRDefault="00E74A46" w:rsidP="00726951">
            <w:pPr>
              <w:spacing w:before="20" w:after="20" w:line="240" w:lineRule="auto"/>
              <w:jc w:val="left"/>
              <w:rPr>
                <w:rFonts w:cs="Tahoma"/>
                <w:color w:val="000000"/>
                <w:sz w:val="14"/>
                <w:szCs w:val="16"/>
              </w:rPr>
            </w:pPr>
            <w:r w:rsidRPr="001F1691">
              <w:rPr>
                <w:rFonts w:cs="Tahoma"/>
                <w:color w:val="000000"/>
                <w:sz w:val="14"/>
                <w:szCs w:val="16"/>
              </w:rPr>
              <w:t>7</w:t>
            </w:r>
            <w:r w:rsidR="007645C6">
              <w:rPr>
                <w:rFonts w:cs="Tahoma"/>
                <w:color w:val="000000"/>
                <w:sz w:val="14"/>
                <w:szCs w:val="16"/>
              </w:rPr>
              <w:t>4</w:t>
            </w:r>
          </w:p>
        </w:tc>
      </w:tr>
      <w:tr w:rsidR="00F60A17" w:rsidRPr="001F1691" w:rsidTr="00CA5C9D">
        <w:trPr>
          <w:jc w:val="center"/>
        </w:trPr>
        <w:tc>
          <w:tcPr>
            <w:tcW w:w="867" w:type="dxa"/>
          </w:tcPr>
          <w:p w:rsidR="00F60A17" w:rsidRPr="001F1691" w:rsidRDefault="00B25118" w:rsidP="00CA5C9D">
            <w:pPr>
              <w:spacing w:before="20" w:after="20" w:line="240" w:lineRule="auto"/>
              <w:jc w:val="center"/>
              <w:rPr>
                <w:rFonts w:cs="Tahoma"/>
                <w:color w:val="000000"/>
                <w:sz w:val="14"/>
                <w:szCs w:val="16"/>
              </w:rPr>
            </w:pPr>
            <w:r>
              <w:rPr>
                <w:rFonts w:cs="Tahoma"/>
                <w:color w:val="000000"/>
                <w:sz w:val="14"/>
                <w:szCs w:val="16"/>
              </w:rPr>
              <w:t>G. 11</w:t>
            </w:r>
            <w:r w:rsidR="00E74A46" w:rsidRPr="001F1691">
              <w:rPr>
                <w:rFonts w:cs="Tahoma"/>
                <w:color w:val="000000"/>
                <w:sz w:val="14"/>
                <w:szCs w:val="16"/>
              </w:rPr>
              <w:t>.02</w:t>
            </w:r>
          </w:p>
        </w:tc>
        <w:tc>
          <w:tcPr>
            <w:tcW w:w="6973" w:type="dxa"/>
          </w:tcPr>
          <w:p w:rsidR="00F60A17" w:rsidRPr="001F1691" w:rsidRDefault="007645C6" w:rsidP="00CA5C9D">
            <w:pPr>
              <w:tabs>
                <w:tab w:val="right" w:leader="dot" w:pos="6975"/>
              </w:tabs>
              <w:spacing w:before="20" w:after="20" w:line="240" w:lineRule="auto"/>
              <w:jc w:val="left"/>
              <w:rPr>
                <w:rFonts w:cs="Tahoma"/>
                <w:color w:val="000000"/>
                <w:sz w:val="14"/>
                <w:szCs w:val="16"/>
              </w:rPr>
            </w:pPr>
            <w:r>
              <w:rPr>
                <w:rFonts w:cs="Tahoma"/>
                <w:color w:val="000000"/>
                <w:sz w:val="14"/>
                <w:szCs w:val="16"/>
              </w:rPr>
              <w:t>Parts de marché en 2011</w:t>
            </w:r>
            <w:r w:rsidR="00E74A46" w:rsidRPr="001F1691">
              <w:rPr>
                <w:rFonts w:cs="Tahoma"/>
                <w:color w:val="000000"/>
                <w:sz w:val="14"/>
                <w:szCs w:val="16"/>
              </w:rPr>
              <w:tab/>
            </w:r>
          </w:p>
        </w:tc>
        <w:tc>
          <w:tcPr>
            <w:tcW w:w="1034" w:type="dxa"/>
            <w:vAlign w:val="center"/>
          </w:tcPr>
          <w:p w:rsidR="00F60A17" w:rsidRPr="001F1691" w:rsidRDefault="007645C6" w:rsidP="00CA5C9D">
            <w:pPr>
              <w:spacing w:before="20" w:after="20" w:line="240" w:lineRule="auto"/>
              <w:jc w:val="left"/>
              <w:rPr>
                <w:rFonts w:cs="Tahoma"/>
                <w:color w:val="000000"/>
                <w:sz w:val="14"/>
                <w:szCs w:val="16"/>
              </w:rPr>
            </w:pPr>
            <w:r>
              <w:rPr>
                <w:rFonts w:cs="Tahoma"/>
                <w:color w:val="000000"/>
                <w:sz w:val="14"/>
                <w:szCs w:val="16"/>
              </w:rPr>
              <w:t>86</w:t>
            </w:r>
          </w:p>
        </w:tc>
      </w:tr>
      <w:tr w:rsidR="00F60A17" w:rsidRPr="001F1691" w:rsidTr="00726951">
        <w:trPr>
          <w:jc w:val="center"/>
        </w:trPr>
        <w:tc>
          <w:tcPr>
            <w:tcW w:w="867" w:type="dxa"/>
          </w:tcPr>
          <w:p w:rsidR="00F60A17" w:rsidRPr="001F1691" w:rsidRDefault="00B25118" w:rsidP="00726951">
            <w:pPr>
              <w:spacing w:before="20" w:after="20" w:line="240" w:lineRule="auto"/>
              <w:jc w:val="center"/>
              <w:rPr>
                <w:rFonts w:cs="Tahoma"/>
                <w:color w:val="000000"/>
                <w:sz w:val="14"/>
                <w:szCs w:val="16"/>
              </w:rPr>
            </w:pPr>
            <w:r>
              <w:rPr>
                <w:rFonts w:cs="Tahoma"/>
                <w:color w:val="000000"/>
                <w:sz w:val="14"/>
                <w:szCs w:val="16"/>
              </w:rPr>
              <w:t>G. 11</w:t>
            </w:r>
            <w:r w:rsidR="00E74A46" w:rsidRPr="001F1691">
              <w:rPr>
                <w:rFonts w:cs="Tahoma"/>
                <w:color w:val="000000"/>
                <w:sz w:val="14"/>
                <w:szCs w:val="16"/>
              </w:rPr>
              <w:t>.03</w:t>
            </w:r>
          </w:p>
        </w:tc>
        <w:tc>
          <w:tcPr>
            <w:tcW w:w="6973" w:type="dxa"/>
          </w:tcPr>
          <w:p w:rsidR="00F60A17" w:rsidRPr="001F1691" w:rsidRDefault="00E74A46" w:rsidP="00726951">
            <w:pPr>
              <w:tabs>
                <w:tab w:val="right" w:leader="dot" w:pos="6975"/>
              </w:tabs>
              <w:spacing w:before="20" w:after="20" w:line="240" w:lineRule="auto"/>
              <w:jc w:val="left"/>
              <w:rPr>
                <w:rFonts w:cs="Tahoma"/>
                <w:color w:val="000000"/>
                <w:sz w:val="14"/>
                <w:szCs w:val="16"/>
              </w:rPr>
            </w:pPr>
            <w:r w:rsidRPr="001F1691">
              <w:rPr>
                <w:rFonts w:cs="Tahoma"/>
                <w:color w:val="000000"/>
                <w:sz w:val="14"/>
                <w:szCs w:val="16"/>
              </w:rPr>
              <w:t>Illustration du taux de pénétration et de la densité</w:t>
            </w:r>
            <w:r w:rsidRPr="001F1691">
              <w:rPr>
                <w:rFonts w:cs="Tahoma"/>
                <w:color w:val="000000"/>
                <w:sz w:val="14"/>
                <w:szCs w:val="16"/>
              </w:rPr>
              <w:tab/>
            </w:r>
          </w:p>
        </w:tc>
        <w:tc>
          <w:tcPr>
            <w:tcW w:w="1034" w:type="dxa"/>
            <w:vAlign w:val="center"/>
          </w:tcPr>
          <w:p w:rsidR="00F60A17" w:rsidRPr="001F1691" w:rsidRDefault="007645C6" w:rsidP="00726951">
            <w:pPr>
              <w:spacing w:before="20" w:after="20" w:line="240" w:lineRule="auto"/>
              <w:jc w:val="left"/>
              <w:rPr>
                <w:rFonts w:cs="Tahoma"/>
                <w:color w:val="000000"/>
                <w:sz w:val="14"/>
                <w:szCs w:val="16"/>
              </w:rPr>
            </w:pPr>
            <w:r>
              <w:rPr>
                <w:rFonts w:cs="Tahoma"/>
                <w:color w:val="000000"/>
                <w:sz w:val="14"/>
                <w:szCs w:val="16"/>
              </w:rPr>
              <w:t>87</w:t>
            </w:r>
          </w:p>
        </w:tc>
      </w:tr>
    </w:tbl>
    <w:p w:rsidR="00726951" w:rsidRPr="001F1691" w:rsidRDefault="00726951" w:rsidP="00726951"/>
    <w:p w:rsidR="00726951" w:rsidRPr="008D2996" w:rsidRDefault="00E74A46">
      <w:pPr>
        <w:spacing w:after="0" w:line="240" w:lineRule="auto"/>
        <w:jc w:val="left"/>
        <w:rPr>
          <w:color w:val="000000"/>
          <w:highlight w:val="yellow"/>
        </w:rPr>
      </w:pPr>
      <w:r>
        <w:rPr>
          <w:color w:val="000000"/>
          <w:highlight w:val="yellow"/>
        </w:rPr>
        <w:br w:type="page"/>
      </w:r>
    </w:p>
    <w:p w:rsidR="009E4339" w:rsidRPr="008D2996" w:rsidRDefault="009E4339" w:rsidP="00425A69">
      <w:pPr>
        <w:spacing w:after="240"/>
        <w:rPr>
          <w:color w:val="000000"/>
          <w:highlight w:val="yellow"/>
        </w:rPr>
      </w:pPr>
    </w:p>
    <w:p w:rsidR="005E002E" w:rsidRDefault="005E002E" w:rsidP="005E002E">
      <w:pPr>
        <w:pStyle w:val="Titre1"/>
        <w:jc w:val="center"/>
        <w:rPr>
          <w:sz w:val="32"/>
          <w:szCs w:val="32"/>
        </w:rPr>
      </w:pPr>
      <w:bookmarkStart w:id="23" w:name="_Toc327883397"/>
      <w:bookmarkStart w:id="24" w:name="_Toc327916497"/>
      <w:bookmarkEnd w:id="22"/>
      <w:bookmarkEnd w:id="21"/>
      <w:bookmarkEnd w:id="20"/>
      <w:bookmarkEnd w:id="19"/>
      <w:r w:rsidRPr="00E74A46">
        <w:rPr>
          <w:sz w:val="32"/>
          <w:szCs w:val="32"/>
        </w:rPr>
        <w:t>INTRODUCTION</w:t>
      </w:r>
      <w:bookmarkEnd w:id="23"/>
      <w:bookmarkEnd w:id="24"/>
      <w:r w:rsidRPr="00E74A46">
        <w:rPr>
          <w:sz w:val="32"/>
          <w:szCs w:val="32"/>
        </w:rPr>
        <w:t xml:space="preserve"> </w:t>
      </w:r>
    </w:p>
    <w:p w:rsidR="008343A9" w:rsidRDefault="008343A9" w:rsidP="008343A9"/>
    <w:p w:rsidR="001246EE" w:rsidRPr="005D6003" w:rsidRDefault="001246EE" w:rsidP="001246EE">
      <w:r w:rsidRPr="005D6003">
        <w:t>Le Conseil National des Assurances, conformément au décret exécutif 95-339, modifié et complété par le décret exécutif 07-137, doit émettre annuellement un rapport sur la situation général</w:t>
      </w:r>
      <w:r w:rsidR="00A707F2">
        <w:t>e</w:t>
      </w:r>
      <w:r w:rsidRPr="005D6003">
        <w:t xml:space="preserve"> du secteur des assurances adressé au Premier Ministre par le biais du Ministre des finances.</w:t>
      </w:r>
    </w:p>
    <w:p w:rsidR="001246EE" w:rsidRPr="005D6003" w:rsidRDefault="001246EE" w:rsidP="001246EE">
      <w:r w:rsidRPr="005D6003">
        <w:t>L’année 2010 caractérise le secteur des assurances au même titre que les autres  secteurs par le passage du plan comptable national (P.C.N.) au nouveau plan comptable système financier (N.S.C.F.).</w:t>
      </w:r>
    </w:p>
    <w:p w:rsidR="001246EE" w:rsidRPr="005D6003" w:rsidRDefault="001246EE" w:rsidP="001246EE">
      <w:r w:rsidRPr="005D6003">
        <w:t>Ce présent rapport traite de l’activité financière, technique, juridique et de la gestion de la ressource humaine des sociétés d’assurance. Il reprend également les différents facteurs hors secteur qui impactent le marché algérien des assurances.</w:t>
      </w:r>
    </w:p>
    <w:p w:rsidR="001246EE" w:rsidRPr="005D6003" w:rsidRDefault="001246EE" w:rsidP="001246EE">
      <w:r w:rsidRPr="005D6003">
        <w:t>Les statistiques sectorielles publiées dans ce rapport proviennent des bilans comptables, des rapports d’activités, des états techniques réglementaires ainsi que des canevas du CNA.</w:t>
      </w:r>
    </w:p>
    <w:p w:rsidR="001246EE" w:rsidRPr="005D6003" w:rsidRDefault="001246EE" w:rsidP="001246EE">
      <w:r w:rsidRPr="005D6003">
        <w:t>Les données hors secteur sont collectées auprès des différentes institutions publiques (ministères, O.N.S. …).</w:t>
      </w:r>
    </w:p>
    <w:p w:rsidR="001246EE" w:rsidRPr="005D6003" w:rsidRDefault="001246EE" w:rsidP="001246EE">
      <w:r w:rsidRPr="005D6003">
        <w:t>Le rapport expose le chiffre d’affaires du secteur algérien des assurances par branche, la structure et les parts de marché. Il étudie également les réalisations des sociétés d’assurances selon une démarche proche de celle de la comptabilité nationale : ménages et entrepreneurs individuels, entreprises agricoles et non agricoles ainsi que les importateurs.</w:t>
      </w:r>
    </w:p>
    <w:p w:rsidR="001246EE" w:rsidRPr="005D6003" w:rsidRDefault="001246EE" w:rsidP="001246EE">
      <w:r w:rsidRPr="005D6003">
        <w:t>Nous analysons également la situation des sinistres payés, des sinistres à payer  ainsi que d’autres indicateurs tels que la sinistralité et la cadence de règlement.</w:t>
      </w:r>
    </w:p>
    <w:p w:rsidR="001246EE" w:rsidRPr="005D6003" w:rsidRDefault="001246EE" w:rsidP="001246EE">
      <w:r w:rsidRPr="005D6003">
        <w:t>Nous allons présenter en premier lieu la situation du secteur des assurances en Algérie par rapport au monde, l’Afrique et le Maghreb, en second lieu les acteurs impactent sur ce secteur, en troisième lieu la gestion et l’organisation des sociétés d’assurances, en quatrième et dernier lieu les résultats provisoires de 2011 issus des états trimestriels.</w:t>
      </w:r>
    </w:p>
    <w:p w:rsidR="001246EE" w:rsidRDefault="001246EE" w:rsidP="005E002E">
      <w:pPr>
        <w:pStyle w:val="Titre1"/>
        <w:rPr>
          <w:color w:val="000000"/>
        </w:rPr>
      </w:pPr>
    </w:p>
    <w:p w:rsidR="001246EE" w:rsidRDefault="001246EE" w:rsidP="005E002E">
      <w:pPr>
        <w:pStyle w:val="Titre1"/>
        <w:rPr>
          <w:color w:val="000000"/>
        </w:rPr>
      </w:pPr>
    </w:p>
    <w:p w:rsidR="001246EE" w:rsidRDefault="001246EE" w:rsidP="005E002E">
      <w:pPr>
        <w:pStyle w:val="Titre1"/>
        <w:rPr>
          <w:color w:val="000000"/>
        </w:rPr>
      </w:pPr>
    </w:p>
    <w:p w:rsidR="001246EE" w:rsidRDefault="001246EE" w:rsidP="005E002E">
      <w:pPr>
        <w:pStyle w:val="Titre1"/>
        <w:rPr>
          <w:color w:val="000000"/>
        </w:rPr>
      </w:pPr>
    </w:p>
    <w:p w:rsidR="001246EE" w:rsidRDefault="001246EE" w:rsidP="005E002E">
      <w:pPr>
        <w:pStyle w:val="Titre1"/>
        <w:rPr>
          <w:color w:val="000000"/>
        </w:rPr>
      </w:pPr>
    </w:p>
    <w:p w:rsidR="00F7768E" w:rsidRDefault="00F7768E"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Pr="00ED2E71" w:rsidRDefault="00E45768" w:rsidP="00C71173">
      <w:pPr>
        <w:pStyle w:val="Titre1"/>
        <w:jc w:val="center"/>
        <w:rPr>
          <w:noProof/>
          <w:sz w:val="48"/>
        </w:rPr>
      </w:pPr>
      <w:bookmarkStart w:id="25" w:name="_Toc327916498"/>
      <w:r w:rsidRPr="00E45768">
        <w:rPr>
          <w:sz w:val="48"/>
        </w:rPr>
        <w:t xml:space="preserve">1° </w:t>
      </w:r>
      <w:r w:rsidRPr="00E45768">
        <w:rPr>
          <w:noProof/>
          <w:sz w:val="48"/>
        </w:rPr>
        <w:t xml:space="preserve">Chapitre : </w:t>
      </w:r>
      <w:r w:rsidR="00525795" w:rsidRPr="00525795">
        <w:rPr>
          <w:b w:val="0"/>
          <w:bCs w:val="0"/>
          <w:caps w:val="0"/>
          <w:noProof/>
          <w:sz w:val="48"/>
        </w:rPr>
        <w:t>ENVIRONNEMENT INTERNATIONAL 2010</w:t>
      </w:r>
      <w:bookmarkEnd w:id="25"/>
    </w:p>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D6003" w:rsidRDefault="005D6003" w:rsidP="00F7768E"/>
    <w:p w:rsidR="005E002E" w:rsidRPr="008D2996" w:rsidRDefault="005E002E" w:rsidP="00CD4927">
      <w:pPr>
        <w:pStyle w:val="Titre1"/>
        <w:spacing w:before="360" w:after="60"/>
        <w:rPr>
          <w:color w:val="000000"/>
        </w:rPr>
      </w:pPr>
      <w:bookmarkStart w:id="26" w:name="_Toc327883398"/>
      <w:bookmarkStart w:id="27" w:name="_Toc327916499"/>
      <w:r w:rsidRPr="00E74A46">
        <w:rPr>
          <w:color w:val="000000"/>
        </w:rPr>
        <w:lastRenderedPageBreak/>
        <w:t>Les Marchés de l’Assurance dans le Monde</w:t>
      </w:r>
      <w:r w:rsidRPr="00E74A46">
        <w:rPr>
          <w:rStyle w:val="Appelnotedebasdep"/>
          <w:color w:val="000000"/>
        </w:rPr>
        <w:footnoteReference w:id="2"/>
      </w:r>
      <w:bookmarkEnd w:id="26"/>
      <w:bookmarkEnd w:id="27"/>
    </w:p>
    <w:p w:rsidR="005E002E" w:rsidRDefault="005E002E" w:rsidP="005E002E">
      <w:r w:rsidRPr="00E74A46">
        <w:t xml:space="preserve">La reprise de l’économie mondiale à la mi-2009 s’est poursuivie </w:t>
      </w:r>
      <w:r>
        <w:t>en 2010. Le PIB a progressé de 5</w:t>
      </w:r>
      <w:r w:rsidRPr="00E74A46">
        <w:t>,</w:t>
      </w:r>
      <w:r>
        <w:t xml:space="preserve">1% </w:t>
      </w:r>
      <w:r w:rsidRPr="00E74A46">
        <w:t>en 2010.</w:t>
      </w:r>
    </w:p>
    <w:p w:rsidR="005E002E" w:rsidRPr="008D2996" w:rsidRDefault="005E002E" w:rsidP="005E002E">
      <w:r w:rsidRPr="00E74A46">
        <w:t xml:space="preserve">Cette situation économique </w:t>
      </w:r>
      <w:r>
        <w:t xml:space="preserve">favorise </w:t>
      </w:r>
      <w:r w:rsidRPr="00E74A46">
        <w:t>la croissance du secteur des assurances</w:t>
      </w:r>
      <w:r>
        <w:t xml:space="preserve"> à l’échelle mondial. En 2010,</w:t>
      </w:r>
      <w:r w:rsidRPr="00E74A46">
        <w:t xml:space="preserve"> les primes dans le monde </w:t>
      </w:r>
      <w:r>
        <w:t xml:space="preserve">enregistrent une évolution </w:t>
      </w:r>
      <w:r w:rsidRPr="00E74A46">
        <w:t xml:space="preserve">de </w:t>
      </w:r>
      <w:r>
        <w:t>2</w:t>
      </w:r>
      <w:r w:rsidRPr="00E74A46">
        <w:t xml:space="preserve">,7% en valeur réelle </w:t>
      </w:r>
      <w:r>
        <w:t xml:space="preserve">qui contraste avec la baisse de </w:t>
      </w:r>
      <w:r w:rsidR="005E1CA4">
        <w:t>0</w:t>
      </w:r>
      <w:r>
        <w:t>,</w:t>
      </w:r>
      <w:r w:rsidR="005E1CA4">
        <w:t>3</w:t>
      </w:r>
      <w:r>
        <w:t xml:space="preserve">% observée en 2009. </w:t>
      </w:r>
      <w:r w:rsidRPr="00E74A46">
        <w:t xml:space="preserve">En valeur nominale, le volume des primes </w:t>
      </w:r>
      <w:r>
        <w:t>augmente</w:t>
      </w:r>
      <w:r w:rsidRPr="00E74A46">
        <w:t xml:space="preserve"> de </w:t>
      </w:r>
      <w:r w:rsidRPr="00E5566F">
        <w:t>5</w:t>
      </w:r>
      <w:r>
        <w:t>,6</w:t>
      </w:r>
      <w:r w:rsidRPr="00E5566F">
        <w:t>%</w:t>
      </w:r>
      <w:r>
        <w:t xml:space="preserve"> s’établissant à 4 339</w:t>
      </w:r>
      <w:r w:rsidRPr="00E74A46">
        <w:t xml:space="preserve"> </w:t>
      </w:r>
      <w:r w:rsidR="009135A6">
        <w:t>milliard</w:t>
      </w:r>
      <w:r w:rsidRPr="00E74A46">
        <w:t xml:space="preserve"> USD contre 4 1</w:t>
      </w:r>
      <w:r>
        <w:t>10</w:t>
      </w:r>
      <w:r w:rsidRPr="00E74A46">
        <w:t xml:space="preserve"> </w:t>
      </w:r>
      <w:r w:rsidR="009135A6">
        <w:t>milliard</w:t>
      </w:r>
      <w:r w:rsidRPr="00E74A46">
        <w:t xml:space="preserve"> USD en 2009.</w:t>
      </w:r>
    </w:p>
    <w:p w:rsidR="005E002E" w:rsidRPr="008D2996" w:rsidRDefault="005E002E" w:rsidP="005E002E">
      <w:pPr>
        <w:spacing w:before="120"/>
      </w:pPr>
      <w:r w:rsidRPr="00E74A46">
        <w:t>Sur le total des primes émises en 2010, 58</w:t>
      </w:r>
      <w:r w:rsidR="008D3861">
        <w:t>,1</w:t>
      </w:r>
      <w:r w:rsidRPr="00E74A46">
        <w:t xml:space="preserve">% </w:t>
      </w:r>
      <w:r>
        <w:t>concernent l’assurance vie</w:t>
      </w:r>
      <w:r w:rsidRPr="00E74A46">
        <w:t xml:space="preserve">, soit 2 520 </w:t>
      </w:r>
      <w:r w:rsidR="009135A6">
        <w:t>milliard</w:t>
      </w:r>
      <w:r w:rsidRPr="00E74A46">
        <w:t xml:space="preserve"> de dollars, </w:t>
      </w:r>
      <w:r w:rsidR="008D3861">
        <w:t>et 41,9</w:t>
      </w:r>
      <w:r w:rsidRPr="00E74A46">
        <w:t>%</w:t>
      </w:r>
      <w:r>
        <w:t xml:space="preserve"> proviennent de l’assurance non-vie</w:t>
      </w:r>
      <w:r w:rsidRPr="00E74A46">
        <w:t xml:space="preserve">, soit 1 819 </w:t>
      </w:r>
      <w:r w:rsidR="009135A6">
        <w:t>milliard</w:t>
      </w:r>
      <w:r w:rsidRPr="00E74A46">
        <w:t xml:space="preserve"> de dollars. </w:t>
      </w:r>
    </w:p>
    <w:p w:rsidR="005E002E" w:rsidRPr="008D2996" w:rsidRDefault="005E002E" w:rsidP="005E002E">
      <w:r w:rsidRPr="00E74A46">
        <w:t>Les primes en assu</w:t>
      </w:r>
      <w:r>
        <w:t xml:space="preserve">rance vie dans le monde se sont accrues  </w:t>
      </w:r>
      <w:r w:rsidRPr="00E74A46">
        <w:t>de 3,2% en 2010 contre une baisse 0,8% en 20</w:t>
      </w:r>
      <w:r>
        <w:t>09. C</w:t>
      </w:r>
      <w:r w:rsidRPr="00E74A46">
        <w:t>ette hausse s’explique essentiellement par l’augmentation des primes émises dans les pays industri</w:t>
      </w:r>
      <w:r w:rsidR="0026306C">
        <w:t>a</w:t>
      </w:r>
      <w:r w:rsidRPr="00E74A46">
        <w:t>l</w:t>
      </w:r>
      <w:r w:rsidR="0026306C">
        <w:t>i</w:t>
      </w:r>
      <w:r w:rsidRPr="00E74A46">
        <w:t>s</w:t>
      </w:r>
      <w:r w:rsidR="0026306C">
        <w:t>és</w:t>
      </w:r>
      <w:r w:rsidRPr="00E74A46">
        <w:t xml:space="preserve"> (+1,8% en 2010 contre -1,6 % en 2009) dont la part représente 8</w:t>
      </w:r>
      <w:r w:rsidR="00A965EE">
        <w:t>5,</w:t>
      </w:r>
      <w:r w:rsidR="0026306C">
        <w:t>6</w:t>
      </w:r>
      <w:r w:rsidRPr="00E74A46">
        <w:t xml:space="preserve">% du volume mondial en assurance vie. </w:t>
      </w:r>
    </w:p>
    <w:p w:rsidR="005E002E" w:rsidRPr="008D2996" w:rsidRDefault="005E002E" w:rsidP="005E002E">
      <w:r w:rsidRPr="00E74A46">
        <w:t>Concernant le marché émergent, l</w:t>
      </w:r>
      <w:r>
        <w:t>es primes de l’assurance vie  progressent</w:t>
      </w:r>
      <w:r w:rsidRPr="00E74A46">
        <w:t xml:space="preserve"> de 13</w:t>
      </w:r>
      <w:r w:rsidR="00A965EE">
        <w:t>,1</w:t>
      </w:r>
      <w:r w:rsidRPr="00E74A46">
        <w:t>% contre 6</w:t>
      </w:r>
      <w:r w:rsidR="00A965EE">
        <w:t>,0</w:t>
      </w:r>
      <w:r w:rsidRPr="00E74A46">
        <w:t xml:space="preserve">% en 2009.  </w:t>
      </w:r>
    </w:p>
    <w:p w:rsidR="005E002E" w:rsidRPr="008D2996" w:rsidRDefault="005E002E" w:rsidP="005E002E">
      <w:pPr>
        <w:spacing w:before="120"/>
      </w:pPr>
      <w:r w:rsidRPr="00E74A46">
        <w:t xml:space="preserve">De même, les primes en assurance non-vie dans le monde </w:t>
      </w:r>
      <w:r>
        <w:t xml:space="preserve">connaissent une amélioration </w:t>
      </w:r>
      <w:r w:rsidRPr="00E74A46">
        <w:t>de 2,1% en 2010, contre 0,3% en 2009, soit une progression</w:t>
      </w:r>
      <w:r w:rsidR="0026306C">
        <w:t xml:space="preserve"> de 1,0% pour les pays industria</w:t>
      </w:r>
      <w:r w:rsidRPr="00E74A46">
        <w:t>l</w:t>
      </w:r>
      <w:r w:rsidR="0026306C">
        <w:t>i</w:t>
      </w:r>
      <w:r w:rsidRPr="00E74A46">
        <w:t>s</w:t>
      </w:r>
      <w:r w:rsidR="0026306C">
        <w:t>és</w:t>
      </w:r>
      <w:r w:rsidRPr="00E74A46">
        <w:t xml:space="preserve"> (-0,2% en 2009) et un accroissement de 8,5% pour les pays émergents (+3,1% en 2009).</w:t>
      </w: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Pr="008D2996" w:rsidRDefault="005E002E" w:rsidP="005E002E">
      <w:pPr>
        <w:spacing w:before="120"/>
      </w:pPr>
    </w:p>
    <w:p w:rsidR="005E002E" w:rsidRDefault="005E002E" w:rsidP="005E002E">
      <w:pPr>
        <w:spacing w:before="120"/>
      </w:pPr>
    </w:p>
    <w:p w:rsidR="005D6003" w:rsidRDefault="005D6003" w:rsidP="005E002E">
      <w:pPr>
        <w:spacing w:before="120"/>
      </w:pPr>
    </w:p>
    <w:p w:rsidR="005D6003" w:rsidRDefault="005D6003" w:rsidP="005E002E">
      <w:pPr>
        <w:spacing w:before="120"/>
      </w:pPr>
    </w:p>
    <w:p w:rsidR="005D6003" w:rsidRDefault="005D6003" w:rsidP="005E002E">
      <w:pPr>
        <w:spacing w:before="120"/>
      </w:pPr>
    </w:p>
    <w:p w:rsidR="005D6003" w:rsidRDefault="005D6003" w:rsidP="005E002E">
      <w:pPr>
        <w:spacing w:before="120"/>
      </w:pPr>
    </w:p>
    <w:p w:rsidR="005D6003" w:rsidRDefault="005D6003" w:rsidP="005E002E">
      <w:pPr>
        <w:spacing w:before="120"/>
      </w:pPr>
    </w:p>
    <w:p w:rsidR="005D6003" w:rsidRDefault="005D6003" w:rsidP="005E002E">
      <w:pPr>
        <w:spacing w:before="120"/>
      </w:pPr>
    </w:p>
    <w:p w:rsidR="005D6003" w:rsidRDefault="005D6003" w:rsidP="005E002E">
      <w:pPr>
        <w:spacing w:before="120"/>
      </w:pPr>
    </w:p>
    <w:p w:rsidR="005D6003" w:rsidRPr="008D2996" w:rsidRDefault="005D6003" w:rsidP="005E002E">
      <w:pPr>
        <w:spacing w:before="120"/>
      </w:pPr>
    </w:p>
    <w:p w:rsidR="005E002E" w:rsidRPr="008D2996" w:rsidRDefault="005E002E" w:rsidP="005E002E">
      <w:pPr>
        <w:spacing w:before="120"/>
      </w:pPr>
    </w:p>
    <w:p w:rsidR="005E002E" w:rsidRPr="008D2996" w:rsidRDefault="005E002E" w:rsidP="005E002E">
      <w:pPr>
        <w:spacing w:before="120"/>
        <w:jc w:val="center"/>
        <w:rPr>
          <w:sz w:val="28"/>
          <w:szCs w:val="28"/>
          <w:u w:val="double"/>
        </w:rPr>
      </w:pPr>
      <w:r w:rsidRPr="00E74A46">
        <w:rPr>
          <w:rStyle w:val="Titredulivre"/>
          <w:sz w:val="28"/>
          <w:szCs w:val="28"/>
          <w:u w:val="double"/>
        </w:rPr>
        <w:t>Répartition des primes mondiales émises par continent (</w:t>
      </w:r>
      <w:r w:rsidRPr="00E74A46">
        <w:rPr>
          <w:rFonts w:cs="Tahoma"/>
          <w:sz w:val="28"/>
          <w:szCs w:val="28"/>
          <w:u w:val="double"/>
        </w:rPr>
        <w:t>Vie et Non Vie)</w:t>
      </w:r>
    </w:p>
    <w:p w:rsidR="005E002E" w:rsidRPr="008D2996" w:rsidRDefault="005E002E" w:rsidP="005E002E">
      <w:pPr>
        <w:spacing w:before="120"/>
      </w:pPr>
    </w:p>
    <w:tbl>
      <w:tblPr>
        <w:tblW w:w="11020" w:type="dxa"/>
        <w:jc w:val="center"/>
        <w:tblCellMar>
          <w:left w:w="70" w:type="dxa"/>
          <w:right w:w="70" w:type="dxa"/>
        </w:tblCellMar>
        <w:tblLook w:val="04A0"/>
      </w:tblPr>
      <w:tblGrid>
        <w:gridCol w:w="2392"/>
        <w:gridCol w:w="1308"/>
        <w:gridCol w:w="1200"/>
        <w:gridCol w:w="1200"/>
        <w:gridCol w:w="1200"/>
        <w:gridCol w:w="1200"/>
        <w:gridCol w:w="1220"/>
        <w:gridCol w:w="1300"/>
      </w:tblGrid>
      <w:tr w:rsidR="005E002E" w:rsidRPr="008D2996" w:rsidTr="005E002E">
        <w:trPr>
          <w:trHeight w:val="558"/>
          <w:jc w:val="center"/>
        </w:trPr>
        <w:tc>
          <w:tcPr>
            <w:tcW w:w="23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002E" w:rsidRPr="008D2996" w:rsidRDefault="005E002E" w:rsidP="005E002E">
            <w:pPr>
              <w:spacing w:after="0" w:line="240" w:lineRule="auto"/>
              <w:jc w:val="center"/>
              <w:rPr>
                <w:rFonts w:cs="Arial"/>
                <w:color w:val="000000"/>
                <w:sz w:val="16"/>
                <w:szCs w:val="16"/>
              </w:rPr>
            </w:pPr>
            <w:r w:rsidRPr="00E74A46">
              <w:rPr>
                <w:rFonts w:cs="Arial"/>
                <w:color w:val="000000"/>
                <w:sz w:val="16"/>
                <w:szCs w:val="16"/>
              </w:rPr>
              <w:t>Année 2010</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primes d'assurance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primes d'assurance</w:t>
            </w:r>
          </w:p>
        </w:tc>
        <w:tc>
          <w:tcPr>
            <w:tcW w:w="2400" w:type="dxa"/>
            <w:gridSpan w:val="2"/>
            <w:tcBorders>
              <w:top w:val="single" w:sz="8" w:space="0" w:color="auto"/>
              <w:left w:val="nil"/>
              <w:bottom w:val="single" w:sz="8" w:space="0" w:color="auto"/>
              <w:right w:val="single" w:sz="8" w:space="0" w:color="000000"/>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Variation réelle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part du marché mondial</w:t>
            </w:r>
          </w:p>
        </w:tc>
        <w:tc>
          <w:tcPr>
            <w:tcW w:w="12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taux de pénétration</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densité en USD</w:t>
            </w:r>
          </w:p>
        </w:tc>
      </w:tr>
      <w:tr w:rsidR="005E002E" w:rsidRPr="008D2996" w:rsidTr="005E002E">
        <w:trPr>
          <w:trHeight w:val="298"/>
          <w:jc w:val="center"/>
        </w:trPr>
        <w:tc>
          <w:tcPr>
            <w:tcW w:w="2392" w:type="dxa"/>
            <w:vMerge/>
            <w:tcBorders>
              <w:top w:val="single" w:sz="8" w:space="0" w:color="auto"/>
              <w:left w:val="single" w:sz="8" w:space="0" w:color="auto"/>
              <w:bottom w:val="single" w:sz="8" w:space="0" w:color="000000"/>
              <w:right w:val="single" w:sz="8" w:space="0" w:color="auto"/>
            </w:tcBorders>
            <w:vAlign w:val="center"/>
            <w:hideMark/>
          </w:tcPr>
          <w:p w:rsidR="005E002E" w:rsidRPr="008D2996" w:rsidRDefault="005E002E" w:rsidP="005E002E">
            <w:pPr>
              <w:keepNext/>
              <w:spacing w:before="240" w:after="0" w:line="240" w:lineRule="auto"/>
              <w:jc w:val="center"/>
              <w:outlineLvl w:val="0"/>
              <w:rPr>
                <w:rFonts w:cs="Arial"/>
                <w:color w:val="000000"/>
                <w:sz w:val="16"/>
                <w:szCs w:val="16"/>
              </w:rPr>
            </w:pPr>
          </w:p>
        </w:tc>
        <w:tc>
          <w:tcPr>
            <w:tcW w:w="1308"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(en millions USD)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(en millions USD)</w:t>
            </w:r>
          </w:p>
        </w:tc>
        <w:tc>
          <w:tcPr>
            <w:tcW w:w="2400" w:type="dxa"/>
            <w:gridSpan w:val="2"/>
            <w:tcBorders>
              <w:top w:val="single" w:sz="8" w:space="0" w:color="auto"/>
              <w:left w:val="nil"/>
              <w:bottom w:val="single" w:sz="8" w:space="0" w:color="auto"/>
              <w:right w:val="single" w:sz="8" w:space="0" w:color="000000"/>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(en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(en%)</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5E002E" w:rsidRPr="008D2996" w:rsidRDefault="005E002E" w:rsidP="005E002E">
            <w:pPr>
              <w:keepNext/>
              <w:spacing w:before="240" w:after="0" w:line="240" w:lineRule="auto"/>
              <w:jc w:val="center"/>
              <w:outlineLvl w:val="0"/>
              <w:rPr>
                <w:rFonts w:cs="Tahoma"/>
                <w:color w:val="000000"/>
                <w:sz w:val="18"/>
                <w:szCs w:val="18"/>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5E002E" w:rsidRPr="008D2996" w:rsidRDefault="005E002E" w:rsidP="005E002E">
            <w:pPr>
              <w:keepNext/>
              <w:spacing w:before="240" w:after="0" w:line="240" w:lineRule="auto"/>
              <w:jc w:val="center"/>
              <w:outlineLvl w:val="0"/>
              <w:rPr>
                <w:rFonts w:cs="Tahoma"/>
                <w:color w:val="000000"/>
                <w:sz w:val="18"/>
                <w:szCs w:val="18"/>
              </w:rPr>
            </w:pPr>
          </w:p>
        </w:tc>
      </w:tr>
      <w:tr w:rsidR="005E002E" w:rsidRPr="008D2996" w:rsidTr="005E002E">
        <w:trPr>
          <w:trHeight w:val="315"/>
          <w:jc w:val="center"/>
        </w:trPr>
        <w:tc>
          <w:tcPr>
            <w:tcW w:w="2392" w:type="dxa"/>
            <w:vMerge/>
            <w:tcBorders>
              <w:top w:val="single" w:sz="8" w:space="0" w:color="auto"/>
              <w:left w:val="single" w:sz="8" w:space="0" w:color="auto"/>
              <w:bottom w:val="single" w:sz="8" w:space="0" w:color="000000"/>
              <w:right w:val="single" w:sz="8" w:space="0" w:color="auto"/>
            </w:tcBorders>
            <w:vAlign w:val="center"/>
            <w:hideMark/>
          </w:tcPr>
          <w:p w:rsidR="005E002E" w:rsidRPr="008D2996" w:rsidRDefault="005E002E" w:rsidP="005E002E">
            <w:pPr>
              <w:keepNext/>
              <w:spacing w:before="240" w:after="0" w:line="240" w:lineRule="auto"/>
              <w:jc w:val="center"/>
              <w:outlineLvl w:val="0"/>
              <w:rPr>
                <w:rFonts w:cs="Arial"/>
                <w:color w:val="000000"/>
                <w:sz w:val="16"/>
                <w:szCs w:val="16"/>
              </w:rPr>
            </w:pPr>
          </w:p>
        </w:tc>
        <w:tc>
          <w:tcPr>
            <w:tcW w:w="1308" w:type="dxa"/>
            <w:tcBorders>
              <w:top w:val="nil"/>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2010</w:t>
            </w:r>
          </w:p>
        </w:tc>
        <w:tc>
          <w:tcPr>
            <w:tcW w:w="1200" w:type="dxa"/>
            <w:tcBorders>
              <w:top w:val="nil"/>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2009</w:t>
            </w:r>
          </w:p>
        </w:tc>
        <w:tc>
          <w:tcPr>
            <w:tcW w:w="1200" w:type="dxa"/>
            <w:tcBorders>
              <w:top w:val="nil"/>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2010</w:t>
            </w:r>
          </w:p>
        </w:tc>
        <w:tc>
          <w:tcPr>
            <w:tcW w:w="1200" w:type="dxa"/>
            <w:tcBorders>
              <w:top w:val="nil"/>
              <w:left w:val="nil"/>
              <w:bottom w:val="single" w:sz="8" w:space="0" w:color="auto"/>
              <w:right w:val="single" w:sz="8" w:space="0" w:color="auto"/>
            </w:tcBorders>
            <w:shd w:val="clear" w:color="auto" w:fill="auto"/>
            <w:vAlign w:val="center"/>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2009</w:t>
            </w:r>
          </w:p>
        </w:tc>
        <w:tc>
          <w:tcPr>
            <w:tcW w:w="3720" w:type="dxa"/>
            <w:gridSpan w:val="3"/>
            <w:tcBorders>
              <w:top w:val="single" w:sz="8" w:space="0" w:color="auto"/>
              <w:left w:val="nil"/>
              <w:bottom w:val="single" w:sz="8" w:space="0" w:color="auto"/>
              <w:right w:val="single" w:sz="8" w:space="0" w:color="000000"/>
            </w:tcBorders>
            <w:shd w:val="clear" w:color="auto" w:fill="auto"/>
            <w:vAlign w:val="center"/>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2010</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Amérique</w:t>
            </w:r>
          </w:p>
        </w:tc>
        <w:tc>
          <w:tcPr>
            <w:tcW w:w="1308"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1 409 530</w:t>
            </w:r>
          </w:p>
        </w:tc>
        <w:tc>
          <w:tcPr>
            <w:tcW w:w="120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1 357 559</w:t>
            </w:r>
          </w:p>
        </w:tc>
        <w:tc>
          <w:tcPr>
            <w:tcW w:w="120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0,7</w:t>
            </w:r>
          </w:p>
        </w:tc>
        <w:tc>
          <w:tcPr>
            <w:tcW w:w="120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-5,5</w:t>
            </w:r>
          </w:p>
        </w:tc>
        <w:tc>
          <w:tcPr>
            <w:tcW w:w="120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32,49</w:t>
            </w:r>
          </w:p>
        </w:tc>
        <w:tc>
          <w:tcPr>
            <w:tcW w:w="122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6,71</w:t>
            </w:r>
          </w:p>
        </w:tc>
        <w:tc>
          <w:tcPr>
            <w:tcW w:w="1300" w:type="dxa"/>
            <w:tcBorders>
              <w:top w:val="nil"/>
              <w:left w:val="nil"/>
              <w:bottom w:val="single" w:sz="8" w:space="0" w:color="auto"/>
              <w:right w:val="single" w:sz="8" w:space="0" w:color="auto"/>
            </w:tcBorders>
            <w:shd w:val="clear" w:color="000000" w:fill="DBE5F1"/>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1 519,2</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Amérique du Nord</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1 281 664</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1 249 254</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0,0</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-6,3</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29,54</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7,90</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3 724,4</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Amérique latine et Caraïbe</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127 867</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108 305</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8,2</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4,6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2,95</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2,68</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219,1</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Europe</w:t>
            </w:r>
          </w:p>
        </w:tc>
        <w:tc>
          <w:tcPr>
            <w:tcW w:w="1308"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1 620 437</w:t>
            </w:r>
          </w:p>
        </w:tc>
        <w:tc>
          <w:tcPr>
            <w:tcW w:w="120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1 614 385</w:t>
            </w:r>
          </w:p>
        </w:tc>
        <w:tc>
          <w:tcPr>
            <w:tcW w:w="120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1,8</w:t>
            </w:r>
          </w:p>
        </w:tc>
        <w:tc>
          <w:tcPr>
            <w:tcW w:w="120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1,8</w:t>
            </w:r>
          </w:p>
        </w:tc>
        <w:tc>
          <w:tcPr>
            <w:tcW w:w="120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37,35</w:t>
            </w:r>
          </w:p>
        </w:tc>
        <w:tc>
          <w:tcPr>
            <w:tcW w:w="122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7,47</w:t>
            </w:r>
          </w:p>
        </w:tc>
        <w:tc>
          <w:tcPr>
            <w:tcW w:w="1300" w:type="dxa"/>
            <w:tcBorders>
              <w:top w:val="nil"/>
              <w:left w:val="nil"/>
              <w:bottom w:val="single" w:sz="8" w:space="0" w:color="auto"/>
              <w:right w:val="single" w:sz="8" w:space="0" w:color="auto"/>
            </w:tcBorders>
            <w:shd w:val="clear" w:color="000000" w:fill="EAF1DD"/>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1 850,2</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Europe de l'Ouest</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1 532 631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1 529 489</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1,9</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35,32</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8,44</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2 890,3</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Europe Centrale et Orientale</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87 806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84 896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-0,4</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-10,1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2,02</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2,62</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272,5</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Asie</w:t>
            </w:r>
          </w:p>
        </w:tc>
        <w:tc>
          <w:tcPr>
            <w:tcW w:w="1308"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1 161 118</w:t>
            </w:r>
          </w:p>
        </w:tc>
        <w:tc>
          <w:tcPr>
            <w:tcW w:w="120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1 014 419</w:t>
            </w:r>
          </w:p>
        </w:tc>
        <w:tc>
          <w:tcPr>
            <w:tcW w:w="120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7,2</w:t>
            </w:r>
          </w:p>
        </w:tc>
        <w:tc>
          <w:tcPr>
            <w:tcW w:w="120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4,7</w:t>
            </w:r>
          </w:p>
        </w:tc>
        <w:tc>
          <w:tcPr>
            <w:tcW w:w="120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26,76</w:t>
            </w:r>
          </w:p>
        </w:tc>
        <w:tc>
          <w:tcPr>
            <w:tcW w:w="122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6,16</w:t>
            </w:r>
          </w:p>
        </w:tc>
        <w:tc>
          <w:tcPr>
            <w:tcW w:w="1300" w:type="dxa"/>
            <w:tcBorders>
              <w:top w:val="nil"/>
              <w:left w:val="nil"/>
              <w:bottom w:val="single" w:sz="8" w:space="0" w:color="auto"/>
              <w:right w:val="single" w:sz="8" w:space="0" w:color="auto"/>
            </w:tcBorders>
            <w:shd w:val="clear" w:color="000000" w:fill="FFFFC5"/>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281,5</w:t>
            </w:r>
          </w:p>
        </w:tc>
      </w:tr>
      <w:tr w:rsidR="005E002E" w:rsidRPr="008D2996" w:rsidTr="005E002E">
        <w:trPr>
          <w:trHeight w:val="720"/>
          <w:jc w:val="center"/>
        </w:trPr>
        <w:tc>
          <w:tcPr>
            <w:tcW w:w="2392" w:type="dxa"/>
            <w:tcBorders>
              <w:top w:val="nil"/>
              <w:left w:val="single" w:sz="8" w:space="0" w:color="auto"/>
              <w:bottom w:val="single" w:sz="8" w:space="0" w:color="auto"/>
              <w:right w:val="single" w:sz="8" w:space="0" w:color="auto"/>
            </w:tcBorders>
            <w:shd w:val="clear" w:color="auto" w:fill="auto"/>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Japon et nouvelles économie asiatiques industrialisées</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791 349</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721 910</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2,8</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18,24</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10,64</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3 733,3</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Asie du Sud et de l'Est</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336 448</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262 699</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18,8</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12,3</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7,75</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3,66</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93,9</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8"/>
                <w:szCs w:val="18"/>
              </w:rPr>
            </w:pPr>
            <w:r w:rsidRPr="00E74A46">
              <w:rPr>
                <w:rFonts w:cs="Tahoma"/>
                <w:color w:val="000000"/>
                <w:sz w:val="18"/>
                <w:szCs w:val="18"/>
              </w:rPr>
              <w:t>Proche-Orient</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33 321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29 810</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10,1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5</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0,77</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1,51</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color w:val="000000"/>
                <w:sz w:val="16"/>
                <w:szCs w:val="16"/>
              </w:rPr>
            </w:pPr>
            <w:r w:rsidRPr="00E74A46">
              <w:rPr>
                <w:rFonts w:cs="Tahoma"/>
                <w:color w:val="000000"/>
                <w:sz w:val="16"/>
                <w:szCs w:val="16"/>
              </w:rPr>
              <w:t>105,0</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Afrique</w:t>
            </w:r>
          </w:p>
        </w:tc>
        <w:tc>
          <w:tcPr>
            <w:tcW w:w="1308"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66 719</w:t>
            </w:r>
          </w:p>
        </w:tc>
        <w:tc>
          <w:tcPr>
            <w:tcW w:w="120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57 453</w:t>
            </w:r>
          </w:p>
        </w:tc>
        <w:tc>
          <w:tcPr>
            <w:tcW w:w="120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-1,1</w:t>
            </w:r>
          </w:p>
        </w:tc>
        <w:tc>
          <w:tcPr>
            <w:tcW w:w="120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2,3</w:t>
            </w:r>
          </w:p>
        </w:tc>
        <w:tc>
          <w:tcPr>
            <w:tcW w:w="120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1,54</w:t>
            </w:r>
          </w:p>
        </w:tc>
        <w:tc>
          <w:tcPr>
            <w:tcW w:w="122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3,86</w:t>
            </w:r>
          </w:p>
        </w:tc>
        <w:tc>
          <w:tcPr>
            <w:tcW w:w="1300" w:type="dxa"/>
            <w:tcBorders>
              <w:top w:val="nil"/>
              <w:left w:val="nil"/>
              <w:bottom w:val="single" w:sz="8" w:space="0" w:color="auto"/>
              <w:right w:val="single" w:sz="8" w:space="0" w:color="auto"/>
            </w:tcBorders>
            <w:shd w:val="clear" w:color="000000" w:fill="FBD4B4"/>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64,7</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Océanie</w:t>
            </w:r>
          </w:p>
        </w:tc>
        <w:tc>
          <w:tcPr>
            <w:tcW w:w="1308"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81 160</w:t>
            </w:r>
          </w:p>
        </w:tc>
        <w:tc>
          <w:tcPr>
            <w:tcW w:w="120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65 819</w:t>
            </w:r>
          </w:p>
        </w:tc>
        <w:tc>
          <w:tcPr>
            <w:tcW w:w="120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2,3</w:t>
            </w:r>
          </w:p>
        </w:tc>
        <w:tc>
          <w:tcPr>
            <w:tcW w:w="120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-11,5</w:t>
            </w:r>
          </w:p>
        </w:tc>
        <w:tc>
          <w:tcPr>
            <w:tcW w:w="120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1,87</w:t>
            </w:r>
          </w:p>
        </w:tc>
        <w:tc>
          <w:tcPr>
            <w:tcW w:w="122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5,82</w:t>
            </w:r>
          </w:p>
        </w:tc>
        <w:tc>
          <w:tcPr>
            <w:tcW w:w="1300" w:type="dxa"/>
            <w:tcBorders>
              <w:top w:val="nil"/>
              <w:left w:val="nil"/>
              <w:bottom w:val="single" w:sz="8" w:space="0" w:color="auto"/>
              <w:right w:val="single" w:sz="8" w:space="0" w:color="auto"/>
            </w:tcBorders>
            <w:shd w:val="clear" w:color="000000" w:fill="DDD9C3"/>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2 283,1</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8"/>
                <w:szCs w:val="18"/>
              </w:rPr>
            </w:pPr>
            <w:r w:rsidRPr="00E74A46">
              <w:rPr>
                <w:rFonts w:cs="Tahoma"/>
                <w:b/>
                <w:bCs/>
                <w:color w:val="000000"/>
                <w:sz w:val="18"/>
                <w:szCs w:val="18"/>
              </w:rPr>
              <w:t>Monde</w:t>
            </w:r>
            <w:r w:rsidRPr="00E74A46">
              <w:rPr>
                <w:rFonts w:cs="Tahoma"/>
                <w:b/>
                <w:bCs/>
                <w:color w:val="000000"/>
                <w:sz w:val="18"/>
                <w:szCs w:val="18"/>
                <w:vertAlign w:val="superscript"/>
              </w:rPr>
              <w:t>2</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4 338 964</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4 109 635</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2,7</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-0,3</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100,00</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6,89</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000000"/>
                <w:sz w:val="16"/>
                <w:szCs w:val="16"/>
              </w:rPr>
            </w:pPr>
            <w:r w:rsidRPr="00E74A46">
              <w:rPr>
                <w:rFonts w:cs="Tahoma"/>
                <w:b/>
                <w:bCs/>
                <w:color w:val="000000"/>
                <w:sz w:val="16"/>
                <w:szCs w:val="16"/>
              </w:rPr>
              <w:t>627,3</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8"/>
                <w:szCs w:val="18"/>
              </w:rPr>
            </w:pPr>
            <w:r w:rsidRPr="00E74A46">
              <w:rPr>
                <w:rFonts w:cs="Tahoma"/>
                <w:b/>
                <w:bCs/>
                <w:color w:val="365F91"/>
                <w:sz w:val="18"/>
                <w:szCs w:val="18"/>
              </w:rPr>
              <w:t>Pays Industriels</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3 688 758</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3 568 693</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1,4</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-1</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85,01</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8,65</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3526,7</w:t>
            </w:r>
          </w:p>
        </w:tc>
      </w:tr>
      <w:tr w:rsidR="005E002E" w:rsidRPr="008D2996" w:rsidTr="005E002E">
        <w:trPr>
          <w:trHeight w:val="315"/>
          <w:jc w:val="center"/>
        </w:trPr>
        <w:tc>
          <w:tcPr>
            <w:tcW w:w="2392" w:type="dxa"/>
            <w:tcBorders>
              <w:top w:val="nil"/>
              <w:left w:val="single" w:sz="8" w:space="0" w:color="auto"/>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8"/>
                <w:szCs w:val="18"/>
              </w:rPr>
            </w:pPr>
            <w:r w:rsidRPr="00E74A46">
              <w:rPr>
                <w:rFonts w:cs="Tahoma"/>
                <w:b/>
                <w:bCs/>
                <w:color w:val="365F91"/>
                <w:sz w:val="18"/>
                <w:szCs w:val="18"/>
              </w:rPr>
              <w:t>Marchés émergents</w:t>
            </w:r>
          </w:p>
        </w:tc>
        <w:tc>
          <w:tcPr>
            <w:tcW w:w="1308"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650 206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540 943</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11,0</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4,6</w:t>
            </w:r>
          </w:p>
        </w:tc>
        <w:tc>
          <w:tcPr>
            <w:tcW w:w="12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14,99</w:t>
            </w:r>
          </w:p>
        </w:tc>
        <w:tc>
          <w:tcPr>
            <w:tcW w:w="122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2,99</w:t>
            </w:r>
          </w:p>
        </w:tc>
        <w:tc>
          <w:tcPr>
            <w:tcW w:w="1300" w:type="dxa"/>
            <w:tcBorders>
              <w:top w:val="nil"/>
              <w:left w:val="nil"/>
              <w:bottom w:val="single" w:sz="8" w:space="0" w:color="auto"/>
              <w:right w:val="single" w:sz="8" w:space="0" w:color="auto"/>
            </w:tcBorders>
            <w:shd w:val="clear" w:color="auto" w:fill="auto"/>
            <w:noWrap/>
            <w:vAlign w:val="bottom"/>
            <w:hideMark/>
          </w:tcPr>
          <w:p w:rsidR="005E002E" w:rsidRPr="008D2996" w:rsidRDefault="005E002E" w:rsidP="005E002E">
            <w:pPr>
              <w:spacing w:after="0" w:line="240" w:lineRule="auto"/>
              <w:jc w:val="center"/>
              <w:rPr>
                <w:rFonts w:cs="Tahoma"/>
                <w:b/>
                <w:bCs/>
                <w:color w:val="365F91"/>
                <w:sz w:val="16"/>
                <w:szCs w:val="16"/>
              </w:rPr>
            </w:pPr>
            <w:r w:rsidRPr="00E74A46">
              <w:rPr>
                <w:rFonts w:cs="Tahoma"/>
                <w:b/>
                <w:bCs/>
                <w:color w:val="365F91"/>
                <w:sz w:val="16"/>
                <w:szCs w:val="16"/>
              </w:rPr>
              <w:t>110,1</w:t>
            </w:r>
          </w:p>
        </w:tc>
      </w:tr>
    </w:tbl>
    <w:p w:rsidR="005E002E" w:rsidRPr="008D2996" w:rsidRDefault="005E002E" w:rsidP="005E002E">
      <w:pPr>
        <w:autoSpaceDE w:val="0"/>
        <w:autoSpaceDN w:val="0"/>
        <w:adjustRightInd w:val="0"/>
        <w:spacing w:after="0" w:line="240" w:lineRule="auto"/>
        <w:jc w:val="center"/>
        <w:rPr>
          <w:b/>
          <w:bCs/>
          <w:i/>
          <w:iCs/>
          <w:color w:val="000000"/>
          <w:sz w:val="17"/>
          <w:szCs w:val="17"/>
        </w:rPr>
      </w:pPr>
      <w:r w:rsidRPr="00E74A46">
        <w:rPr>
          <w:b/>
          <w:bCs/>
          <w:i/>
          <w:iCs/>
          <w:color w:val="000000"/>
          <w:sz w:val="17"/>
          <w:szCs w:val="17"/>
        </w:rPr>
        <w:t xml:space="preserve">                                                                                                                </w:t>
      </w:r>
      <w:r w:rsidR="0026306C">
        <w:rPr>
          <w:b/>
          <w:bCs/>
          <w:i/>
          <w:iCs/>
          <w:color w:val="000000"/>
          <w:sz w:val="17"/>
          <w:szCs w:val="17"/>
        </w:rPr>
        <w:t xml:space="preserve">                     Source: Swiss Re</w:t>
      </w:r>
      <w:r w:rsidRPr="00E74A46">
        <w:rPr>
          <w:b/>
          <w:bCs/>
          <w:i/>
          <w:iCs/>
          <w:color w:val="000000"/>
          <w:sz w:val="17"/>
          <w:szCs w:val="17"/>
        </w:rPr>
        <w:t>, Sigma n°2/2011.</w:t>
      </w:r>
    </w:p>
    <w:p w:rsidR="005E002E" w:rsidRPr="008D2996" w:rsidRDefault="005E002E" w:rsidP="005E002E">
      <w:pPr>
        <w:widowControl w:val="0"/>
        <w:autoSpaceDE w:val="0"/>
        <w:autoSpaceDN w:val="0"/>
        <w:adjustRightInd w:val="0"/>
        <w:spacing w:after="0" w:line="240" w:lineRule="auto"/>
        <w:jc w:val="center"/>
        <w:rPr>
          <w:rStyle w:val="Titredulivre"/>
          <w:u w:val="single"/>
        </w:rPr>
      </w:pPr>
    </w:p>
    <w:p w:rsidR="005E002E" w:rsidRPr="008D2996" w:rsidRDefault="005E002E" w:rsidP="005E002E">
      <w:pPr>
        <w:widowControl w:val="0"/>
        <w:autoSpaceDE w:val="0"/>
        <w:autoSpaceDN w:val="0"/>
        <w:adjustRightInd w:val="0"/>
        <w:spacing w:after="0" w:line="240" w:lineRule="auto"/>
        <w:jc w:val="center"/>
        <w:rPr>
          <w:rStyle w:val="Titredulivre"/>
          <w:u w:val="single"/>
        </w:rPr>
      </w:pPr>
    </w:p>
    <w:p w:rsidR="005E002E" w:rsidRPr="008D2996" w:rsidRDefault="005E002E" w:rsidP="00CD4927">
      <w:pPr>
        <w:pStyle w:val="Titre1"/>
        <w:spacing w:before="360" w:after="60"/>
        <w:rPr>
          <w:color w:val="000000"/>
        </w:rPr>
      </w:pPr>
      <w:bookmarkStart w:id="28" w:name="_Toc327883399"/>
      <w:bookmarkStart w:id="29" w:name="_Toc327916500"/>
      <w:r w:rsidRPr="00E74A46">
        <w:rPr>
          <w:color w:val="000000"/>
        </w:rPr>
        <w:t>Le Marché africain dE L’Assurance</w:t>
      </w:r>
      <w:r w:rsidRPr="00E74A46">
        <w:rPr>
          <w:rStyle w:val="Appelnotedebasdep"/>
          <w:color w:val="000000"/>
        </w:rPr>
        <w:footnoteReference w:id="3"/>
      </w:r>
      <w:bookmarkEnd w:id="28"/>
      <w:bookmarkEnd w:id="29"/>
    </w:p>
    <w:p w:rsidR="005E002E" w:rsidRPr="008D2996" w:rsidRDefault="005E002E" w:rsidP="005E002E">
      <w:r w:rsidRPr="00E74A46">
        <w:t xml:space="preserve">En 2010, les primes d’assurance en Afrique </w:t>
      </w:r>
      <w:r>
        <w:t>enregistrent</w:t>
      </w:r>
      <w:r w:rsidRPr="00E74A46">
        <w:t xml:space="preserve"> une baisse de 1</w:t>
      </w:r>
      <w:r w:rsidR="008D3861">
        <w:t>,1</w:t>
      </w:r>
      <w:r w:rsidRPr="00E74A46">
        <w:t>% contre une évolution de 2,3% e</w:t>
      </w:r>
      <w:r>
        <w:t xml:space="preserve">n 2009. L'Afrique du Sud, </w:t>
      </w:r>
      <w:r w:rsidRPr="00E74A46">
        <w:t>principal m</w:t>
      </w:r>
      <w:r w:rsidR="00BB26EF">
        <w:t>arché de la région, représente 79,9</w:t>
      </w:r>
      <w:r w:rsidR="0019325C">
        <w:t>% du marché africain dont 81,0</w:t>
      </w:r>
      <w:r w:rsidRPr="00E74A46">
        <w:t>% sont destinés à l’assurance vie.</w:t>
      </w:r>
    </w:p>
    <w:p w:rsidR="005E002E" w:rsidRPr="008D2996" w:rsidRDefault="005E002E" w:rsidP="005E002E">
      <w:pPr>
        <w:spacing w:after="0" w:line="240" w:lineRule="auto"/>
      </w:pPr>
      <w:r w:rsidRPr="00E74A46">
        <w:t xml:space="preserve">En assurance vie, le volume des primes </w:t>
      </w:r>
      <w:r>
        <w:t>marque une baisse de 2,4% (</w:t>
      </w:r>
      <w:r w:rsidR="0019325C">
        <w:t>+</w:t>
      </w:r>
      <w:r w:rsidRPr="00E74A46">
        <w:t>1</w:t>
      </w:r>
      <w:r w:rsidR="0019325C">
        <w:t>,7</w:t>
      </w:r>
      <w:r w:rsidRPr="00E74A46">
        <w:t>% en 2009) avec un volume de prime</w:t>
      </w:r>
      <w:r>
        <w:t>s</w:t>
      </w:r>
      <w:r w:rsidRPr="00E74A46">
        <w:t xml:space="preserve"> de 47 244 millions USD en 2010. Ce glissement est d</w:t>
      </w:r>
      <w:r>
        <w:t>û</w:t>
      </w:r>
      <w:r w:rsidRPr="00E74A46">
        <w:t xml:space="preserve"> essentiellement à la baisse </w:t>
      </w:r>
      <w:r>
        <w:t>(-2</w:t>
      </w:r>
      <w:r w:rsidR="0019325C">
        <w:t>,1</w:t>
      </w:r>
      <w:r>
        <w:t xml:space="preserve">%) </w:t>
      </w:r>
      <w:r w:rsidRPr="00E74A46">
        <w:t>des pri</w:t>
      </w:r>
      <w:r>
        <w:t>mes émises par l'Afrique du Sud</w:t>
      </w:r>
      <w:r w:rsidRPr="00E74A46">
        <w:t xml:space="preserve">. L’Egypte, troisième marché de la région, </w:t>
      </w:r>
      <w:r>
        <w:t>enregistre</w:t>
      </w:r>
      <w:r w:rsidRPr="00E74A46">
        <w:t xml:space="preserve"> u</w:t>
      </w:r>
      <w:r>
        <w:t xml:space="preserve">ne croissance </w:t>
      </w:r>
      <w:r w:rsidRPr="00E74A46">
        <w:t>négative de 17</w:t>
      </w:r>
      <w:r w:rsidR="0019325C">
        <w:t>,7</w:t>
      </w:r>
      <w:r w:rsidRPr="00E74A46">
        <w:t xml:space="preserve">%. </w:t>
      </w:r>
    </w:p>
    <w:p w:rsidR="005E002E" w:rsidRPr="008D2996" w:rsidRDefault="005E002E" w:rsidP="005E002E">
      <w:pPr>
        <w:spacing w:after="0" w:line="240" w:lineRule="auto"/>
      </w:pPr>
      <w:r w:rsidRPr="00E74A46">
        <w:t>L'assurance non-vie, avec un volume de primes de 19 475  Millions USD, inscrit une hausse de 4,1% en valeur</w:t>
      </w:r>
      <w:r w:rsidR="004947C1">
        <w:t xml:space="preserve"> réelle. Il est à relever que 51,9</w:t>
      </w:r>
      <w:r w:rsidRPr="00E74A46">
        <w:t>% du volume total de la prime non-vie dans la région est réalisé par l'Afrique  du Sud.</w:t>
      </w:r>
    </w:p>
    <w:p w:rsidR="005E002E" w:rsidRPr="008D2996" w:rsidRDefault="005E002E" w:rsidP="005E002E">
      <w:pPr>
        <w:spacing w:after="0" w:line="240" w:lineRule="auto"/>
      </w:pPr>
    </w:p>
    <w:p w:rsidR="005E002E" w:rsidRPr="008D2996" w:rsidRDefault="005E002E" w:rsidP="005E002E">
      <w:pPr>
        <w:spacing w:after="0" w:line="240" w:lineRule="auto"/>
      </w:pPr>
    </w:p>
    <w:p w:rsidR="005E002E" w:rsidRPr="008D2996" w:rsidRDefault="005E002E" w:rsidP="005E002E">
      <w:pPr>
        <w:spacing w:after="0" w:line="240" w:lineRule="auto"/>
      </w:pPr>
    </w:p>
    <w:p w:rsidR="005E002E" w:rsidRPr="008D2996" w:rsidRDefault="005E002E" w:rsidP="005E002E">
      <w:pPr>
        <w:spacing w:after="0" w:line="240" w:lineRule="auto"/>
      </w:pPr>
    </w:p>
    <w:p w:rsidR="005E002E" w:rsidRPr="002D6C1A" w:rsidRDefault="005E002E" w:rsidP="005E002E">
      <w:pPr>
        <w:spacing w:before="120"/>
        <w:jc w:val="center"/>
        <w:rPr>
          <w:rStyle w:val="Titredulivre"/>
          <w:u w:val="double"/>
        </w:rPr>
      </w:pPr>
      <w:r w:rsidRPr="002D6C1A">
        <w:rPr>
          <w:rStyle w:val="Titredulivre"/>
          <w:u w:val="double"/>
        </w:rPr>
        <w:t>Répartition des Primes d’assurances en Afrique</w:t>
      </w:r>
    </w:p>
    <w:tbl>
      <w:tblPr>
        <w:tblW w:w="10064" w:type="dxa"/>
        <w:tblInd w:w="212" w:type="dxa"/>
        <w:tblCellMar>
          <w:left w:w="70" w:type="dxa"/>
          <w:right w:w="70" w:type="dxa"/>
        </w:tblCellMar>
        <w:tblLook w:val="04A0"/>
      </w:tblPr>
      <w:tblGrid>
        <w:gridCol w:w="1559"/>
        <w:gridCol w:w="1276"/>
        <w:gridCol w:w="1134"/>
        <w:gridCol w:w="851"/>
        <w:gridCol w:w="850"/>
        <w:gridCol w:w="851"/>
        <w:gridCol w:w="1134"/>
        <w:gridCol w:w="850"/>
        <w:gridCol w:w="1559"/>
      </w:tblGrid>
      <w:tr w:rsidR="005E002E" w:rsidRPr="00B24CFB" w:rsidTr="005E002E">
        <w:trPr>
          <w:trHeight w:val="300"/>
        </w:trPr>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Arial"/>
                <w:b/>
                <w:bCs/>
                <w:color w:val="000000"/>
                <w:szCs w:val="18"/>
              </w:rPr>
            </w:pPr>
            <w:r w:rsidRPr="00301818">
              <w:rPr>
                <w:rFonts w:cs="Arial"/>
                <w:b/>
                <w:bCs/>
                <w:color w:val="000000"/>
                <w:szCs w:val="18"/>
              </w:rPr>
              <w:t>Année 2010</w:t>
            </w:r>
          </w:p>
        </w:tc>
        <w:tc>
          <w:tcPr>
            <w:tcW w:w="2410" w:type="dxa"/>
            <w:gridSpan w:val="2"/>
            <w:tcBorders>
              <w:top w:val="single" w:sz="8" w:space="0" w:color="auto"/>
              <w:left w:val="nil"/>
              <w:bottom w:val="nil"/>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primes d'assurance</w:t>
            </w:r>
          </w:p>
        </w:tc>
        <w:tc>
          <w:tcPr>
            <w:tcW w:w="2552" w:type="dxa"/>
            <w:gridSpan w:val="3"/>
            <w:tcBorders>
              <w:top w:val="single" w:sz="8" w:space="0" w:color="auto"/>
              <w:left w:val="nil"/>
              <w:bottom w:val="nil"/>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part du marché africain</w:t>
            </w:r>
          </w:p>
        </w:tc>
        <w:tc>
          <w:tcPr>
            <w:tcW w:w="3543" w:type="dxa"/>
            <w:gridSpan w:val="3"/>
            <w:tcBorders>
              <w:top w:val="single" w:sz="8" w:space="0" w:color="auto"/>
              <w:left w:val="nil"/>
              <w:bottom w:val="nil"/>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part du marché mondial</w:t>
            </w:r>
          </w:p>
        </w:tc>
      </w:tr>
      <w:tr w:rsidR="005E002E" w:rsidRPr="00B24CFB" w:rsidTr="005E002E">
        <w:trPr>
          <w:trHeight w:val="315"/>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5E002E" w:rsidRPr="00301818" w:rsidRDefault="005E002E" w:rsidP="005E002E">
            <w:pPr>
              <w:keepNext/>
              <w:spacing w:before="240" w:after="0" w:line="240" w:lineRule="auto"/>
              <w:jc w:val="left"/>
              <w:outlineLvl w:val="0"/>
              <w:rPr>
                <w:rFonts w:cs="Arial"/>
                <w:b/>
                <w:bCs/>
                <w:color w:val="000000"/>
                <w:szCs w:val="18"/>
              </w:rPr>
            </w:pPr>
          </w:p>
        </w:tc>
        <w:tc>
          <w:tcPr>
            <w:tcW w:w="2410" w:type="dxa"/>
            <w:gridSpan w:val="2"/>
            <w:tcBorders>
              <w:top w:val="nil"/>
              <w:left w:val="nil"/>
              <w:bottom w:val="single" w:sz="8" w:space="0" w:color="auto"/>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(en millions USD)</w:t>
            </w:r>
          </w:p>
        </w:tc>
        <w:tc>
          <w:tcPr>
            <w:tcW w:w="2552" w:type="dxa"/>
            <w:gridSpan w:val="3"/>
            <w:tcBorders>
              <w:top w:val="nil"/>
              <w:left w:val="nil"/>
              <w:bottom w:val="single" w:sz="8" w:space="0" w:color="auto"/>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(en%)</w:t>
            </w:r>
          </w:p>
        </w:tc>
        <w:tc>
          <w:tcPr>
            <w:tcW w:w="3543" w:type="dxa"/>
            <w:gridSpan w:val="3"/>
            <w:tcBorders>
              <w:top w:val="nil"/>
              <w:left w:val="nil"/>
              <w:bottom w:val="single" w:sz="8" w:space="0" w:color="auto"/>
              <w:right w:val="single" w:sz="8" w:space="0" w:color="000000"/>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(en%)</w:t>
            </w:r>
          </w:p>
        </w:tc>
      </w:tr>
      <w:tr w:rsidR="005E002E" w:rsidRPr="00B24CFB" w:rsidTr="005E002E">
        <w:trPr>
          <w:trHeight w:val="315"/>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5E002E" w:rsidRPr="00301818" w:rsidRDefault="005E002E" w:rsidP="005E002E">
            <w:pPr>
              <w:keepNext/>
              <w:spacing w:before="240" w:after="0" w:line="240" w:lineRule="auto"/>
              <w:jc w:val="left"/>
              <w:outlineLvl w:val="0"/>
              <w:rPr>
                <w:rFonts w:cs="Arial"/>
                <w:b/>
                <w:bCs/>
                <w:color w:val="000000"/>
                <w:szCs w:val="18"/>
              </w:rPr>
            </w:pPr>
          </w:p>
        </w:tc>
        <w:tc>
          <w:tcPr>
            <w:tcW w:w="1276"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Total</w:t>
            </w:r>
          </w:p>
        </w:tc>
        <w:tc>
          <w:tcPr>
            <w:tcW w:w="1134"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dont non Vie</w:t>
            </w:r>
          </w:p>
        </w:tc>
        <w:tc>
          <w:tcPr>
            <w:tcW w:w="851"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Vie</w:t>
            </w:r>
          </w:p>
        </w:tc>
        <w:tc>
          <w:tcPr>
            <w:tcW w:w="850"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Non Vie</w:t>
            </w:r>
          </w:p>
        </w:tc>
        <w:tc>
          <w:tcPr>
            <w:tcW w:w="851"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Total</w:t>
            </w:r>
          </w:p>
        </w:tc>
        <w:tc>
          <w:tcPr>
            <w:tcW w:w="1134"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Vie</w:t>
            </w:r>
          </w:p>
        </w:tc>
        <w:tc>
          <w:tcPr>
            <w:tcW w:w="850"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Non Vie</w:t>
            </w:r>
          </w:p>
        </w:tc>
        <w:tc>
          <w:tcPr>
            <w:tcW w:w="1559"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Total</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5E002E" w:rsidRPr="00301818" w:rsidRDefault="005E002E" w:rsidP="005E002E">
            <w:pPr>
              <w:spacing w:after="0" w:line="240" w:lineRule="auto"/>
              <w:jc w:val="center"/>
              <w:rPr>
                <w:rFonts w:cs="Arial"/>
                <w:b/>
                <w:bCs/>
                <w:color w:val="000000"/>
                <w:szCs w:val="20"/>
              </w:rPr>
            </w:pPr>
            <w:r w:rsidRPr="00301818">
              <w:rPr>
                <w:rFonts w:cs="Arial"/>
                <w:b/>
                <w:bCs/>
                <w:color w:val="000000"/>
                <w:szCs w:val="20"/>
              </w:rPr>
              <w:t>Afrique</w:t>
            </w:r>
          </w:p>
        </w:tc>
        <w:tc>
          <w:tcPr>
            <w:tcW w:w="1276"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66 719</w:t>
            </w:r>
          </w:p>
        </w:tc>
        <w:tc>
          <w:tcPr>
            <w:tcW w:w="1134"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29%</w:t>
            </w:r>
          </w:p>
        </w:tc>
        <w:tc>
          <w:tcPr>
            <w:tcW w:w="851"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c>
          <w:tcPr>
            <w:tcW w:w="850"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c>
          <w:tcPr>
            <w:tcW w:w="851"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c>
          <w:tcPr>
            <w:tcW w:w="1134"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1,87%</w:t>
            </w:r>
          </w:p>
        </w:tc>
        <w:tc>
          <w:tcPr>
            <w:tcW w:w="850"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1,07%</w:t>
            </w:r>
          </w:p>
        </w:tc>
        <w:tc>
          <w:tcPr>
            <w:tcW w:w="1559" w:type="dxa"/>
            <w:tcBorders>
              <w:top w:val="nil"/>
              <w:left w:val="nil"/>
              <w:bottom w:val="single" w:sz="8" w:space="0" w:color="auto"/>
              <w:right w:val="single" w:sz="8" w:space="0" w:color="auto"/>
            </w:tcBorders>
            <w:shd w:val="clear" w:color="auto" w:fill="auto"/>
            <w:vAlign w:val="bottom"/>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1,54%</w:t>
            </w:r>
          </w:p>
        </w:tc>
      </w:tr>
      <w:tr w:rsidR="005E002E" w:rsidRPr="00B24CFB" w:rsidTr="005E002E">
        <w:trPr>
          <w:trHeight w:val="454"/>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Afrique du Sud</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53 297</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19%</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91%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52%</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80%</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1,71%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0,56%</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1,23%</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Maroc</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2592</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68%</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2%</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9%</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0,10%</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0,06%</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Egypte</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1585</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59%</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5%</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2%</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0,05%</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0,04%</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Nigéria</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1196</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84%</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5%</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2%</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0,06%</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Algérie</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1162</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93%</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6%</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2%</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0,00%</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0,06%</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Kenya</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889</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67%</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3%</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0,02%</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Namibie</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887</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31%</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0,02%</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0,02%</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0,02%</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Tunisie</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776</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87%</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3%</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0,004%</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0,037%</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0,018%</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Autres pays</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4335</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70%</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3%</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16%</w:t>
            </w:r>
          </w:p>
        </w:tc>
        <w:tc>
          <w:tcPr>
            <w:tcW w:w="851"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6%</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0,05%</w:t>
            </w:r>
          </w:p>
        </w:tc>
        <w:tc>
          <w:tcPr>
            <w:tcW w:w="850"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0,17%</w:t>
            </w:r>
          </w:p>
        </w:tc>
        <w:tc>
          <w:tcPr>
            <w:tcW w:w="1559"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color w:val="000000"/>
                <w:szCs w:val="18"/>
              </w:rPr>
            </w:pPr>
            <w:r w:rsidRPr="00301818">
              <w:rPr>
                <w:rFonts w:cs="Tahoma"/>
                <w:color w:val="000000"/>
                <w:szCs w:val="18"/>
              </w:rPr>
              <w:t>0,10%</w:t>
            </w:r>
          </w:p>
        </w:tc>
      </w:tr>
      <w:tr w:rsidR="005E002E" w:rsidRPr="00B24CFB" w:rsidTr="005E002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Arial"/>
                <w:b/>
                <w:bCs/>
                <w:color w:val="000000"/>
                <w:szCs w:val="20"/>
              </w:rPr>
            </w:pPr>
            <w:r w:rsidRPr="00301818">
              <w:rPr>
                <w:rFonts w:cs="Arial"/>
                <w:b/>
                <w:bCs/>
                <w:color w:val="000000"/>
                <w:szCs w:val="20"/>
              </w:rPr>
              <w:t>Monde</w:t>
            </w:r>
          </w:p>
        </w:tc>
        <w:tc>
          <w:tcPr>
            <w:tcW w:w="1276"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4 338 964</w:t>
            </w:r>
          </w:p>
        </w:tc>
        <w:tc>
          <w:tcPr>
            <w:tcW w:w="1134" w:type="dxa"/>
            <w:tcBorders>
              <w:top w:val="nil"/>
              <w:left w:val="nil"/>
              <w:bottom w:val="single" w:sz="8" w:space="0" w:color="auto"/>
              <w:right w:val="single" w:sz="8" w:space="0" w:color="auto"/>
            </w:tcBorders>
            <w:shd w:val="clear" w:color="auto" w:fill="auto"/>
            <w:vAlign w:val="center"/>
            <w:hideMark/>
          </w:tcPr>
          <w:p w:rsidR="005E002E" w:rsidRPr="00301818" w:rsidRDefault="005E002E" w:rsidP="005E002E">
            <w:pPr>
              <w:spacing w:after="0" w:line="240" w:lineRule="auto"/>
              <w:jc w:val="center"/>
              <w:rPr>
                <w:rFonts w:cs="Tahoma"/>
                <w:b/>
                <w:bCs/>
                <w:color w:val="000000"/>
                <w:szCs w:val="20"/>
              </w:rPr>
            </w:pPr>
            <w:r>
              <w:rPr>
                <w:rFonts w:cs="Tahoma"/>
                <w:b/>
                <w:bCs/>
                <w:color w:val="000000"/>
                <w:szCs w:val="20"/>
              </w:rPr>
              <w:t>42%</w:t>
            </w:r>
          </w:p>
        </w:tc>
        <w:tc>
          <w:tcPr>
            <w:tcW w:w="851"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imes New Roman"/>
                <w:color w:val="000000"/>
                <w:szCs w:val="20"/>
              </w:rPr>
            </w:pPr>
          </w:p>
        </w:tc>
        <w:tc>
          <w:tcPr>
            <w:tcW w:w="850"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imes New Roman"/>
                <w:color w:val="000000"/>
                <w:szCs w:val="20"/>
              </w:rPr>
            </w:pPr>
          </w:p>
        </w:tc>
        <w:tc>
          <w:tcPr>
            <w:tcW w:w="851"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imes New Roman"/>
                <w:color w:val="000000"/>
                <w:szCs w:val="20"/>
              </w:rPr>
            </w:pPr>
          </w:p>
        </w:tc>
        <w:tc>
          <w:tcPr>
            <w:tcW w:w="1134"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c>
          <w:tcPr>
            <w:tcW w:w="850"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c>
          <w:tcPr>
            <w:tcW w:w="1559" w:type="dxa"/>
            <w:tcBorders>
              <w:top w:val="nil"/>
              <w:left w:val="nil"/>
              <w:bottom w:val="single" w:sz="8" w:space="0" w:color="auto"/>
              <w:right w:val="single" w:sz="8" w:space="0" w:color="auto"/>
            </w:tcBorders>
            <w:shd w:val="clear" w:color="auto" w:fill="auto"/>
            <w:noWrap/>
            <w:vAlign w:val="center"/>
            <w:hideMark/>
          </w:tcPr>
          <w:p w:rsidR="005E002E" w:rsidRPr="00301818" w:rsidRDefault="005E002E" w:rsidP="005E002E">
            <w:pPr>
              <w:spacing w:after="0" w:line="240" w:lineRule="auto"/>
              <w:jc w:val="center"/>
              <w:rPr>
                <w:rFonts w:cs="Tahoma"/>
                <w:b/>
                <w:bCs/>
                <w:color w:val="000000"/>
                <w:szCs w:val="20"/>
              </w:rPr>
            </w:pPr>
            <w:r w:rsidRPr="00301818">
              <w:rPr>
                <w:rFonts w:cs="Tahoma"/>
                <w:b/>
                <w:bCs/>
                <w:color w:val="000000"/>
                <w:szCs w:val="20"/>
              </w:rPr>
              <w:t>100</w:t>
            </w:r>
          </w:p>
        </w:tc>
      </w:tr>
    </w:tbl>
    <w:p w:rsidR="005E002E" w:rsidRPr="008D2996" w:rsidRDefault="004947C1" w:rsidP="005E002E">
      <w:pPr>
        <w:jc w:val="right"/>
      </w:pPr>
      <w:r>
        <w:rPr>
          <w:b/>
          <w:bCs/>
          <w:i/>
          <w:iCs/>
          <w:color w:val="000000"/>
          <w:sz w:val="17"/>
          <w:szCs w:val="17"/>
        </w:rPr>
        <w:t xml:space="preserve">              Source: Swiss Re</w:t>
      </w:r>
      <w:r w:rsidR="005E002E" w:rsidRPr="00B24CFB">
        <w:rPr>
          <w:b/>
          <w:bCs/>
          <w:i/>
          <w:iCs/>
          <w:color w:val="000000"/>
          <w:sz w:val="17"/>
          <w:szCs w:val="17"/>
        </w:rPr>
        <w:t>, Sigma n°2/2010.</w:t>
      </w:r>
    </w:p>
    <w:p w:rsidR="005E002E" w:rsidRPr="008D2996" w:rsidRDefault="005E002E" w:rsidP="005E002E"/>
    <w:p w:rsidR="005E002E" w:rsidRPr="008D2996" w:rsidRDefault="005E002E" w:rsidP="00CD4927">
      <w:pPr>
        <w:pStyle w:val="Titre1"/>
        <w:spacing w:before="360" w:after="60"/>
        <w:rPr>
          <w:color w:val="000000"/>
        </w:rPr>
      </w:pPr>
      <w:bookmarkStart w:id="30" w:name="_Toc327883400"/>
      <w:bookmarkStart w:id="31" w:name="_Toc327916501"/>
      <w:r w:rsidRPr="00E74A46">
        <w:rPr>
          <w:color w:val="000000"/>
        </w:rPr>
        <w:t>le Marché Maghrébin dE L’Assurance</w:t>
      </w:r>
      <w:bookmarkEnd w:id="30"/>
      <w:bookmarkEnd w:id="31"/>
    </w:p>
    <w:p w:rsidR="005E002E" w:rsidRPr="008D2996" w:rsidRDefault="005E002E" w:rsidP="005E002E">
      <w:pPr>
        <w:spacing w:after="0" w:line="240" w:lineRule="auto"/>
      </w:pPr>
      <w:r w:rsidRPr="00E74A46">
        <w:t>Le Maghreb est crédité d’un fort potentiel de croissance en raison :</w:t>
      </w:r>
    </w:p>
    <w:p w:rsidR="005E002E" w:rsidRPr="008D2996" w:rsidRDefault="005E002E" w:rsidP="005E002E">
      <w:pPr>
        <w:numPr>
          <w:ilvl w:val="0"/>
          <w:numId w:val="14"/>
        </w:numPr>
        <w:tabs>
          <w:tab w:val="clear" w:pos="360"/>
          <w:tab w:val="num" w:pos="567"/>
        </w:tabs>
        <w:spacing w:before="120"/>
        <w:ind w:left="568" w:hanging="284"/>
      </w:pPr>
      <w:r w:rsidRPr="00E74A46">
        <w:t>du dynamisme démographique</w:t>
      </w:r>
      <w:r w:rsidR="00456418">
        <w:t> ;</w:t>
      </w:r>
      <w:r w:rsidRPr="00E74A46">
        <w:t xml:space="preserve"> </w:t>
      </w:r>
    </w:p>
    <w:p w:rsidR="005E002E" w:rsidRPr="008D2996" w:rsidRDefault="005E002E" w:rsidP="005E002E">
      <w:pPr>
        <w:numPr>
          <w:ilvl w:val="0"/>
          <w:numId w:val="14"/>
        </w:numPr>
        <w:tabs>
          <w:tab w:val="clear" w:pos="360"/>
          <w:tab w:val="num" w:pos="567"/>
        </w:tabs>
        <w:ind w:left="567" w:hanging="283"/>
      </w:pPr>
      <w:r w:rsidRPr="00E74A46">
        <w:t>des taux de croissance réel</w:t>
      </w:r>
      <w:r>
        <w:t>le</w:t>
      </w:r>
      <w:r w:rsidRPr="00E74A46">
        <w:t xml:space="preserve"> élevés du PI</w:t>
      </w:r>
      <w:r w:rsidR="004947C1">
        <w:t>B (Tunisie 3,7% en 2010 contre 3</w:t>
      </w:r>
      <w:r w:rsidRPr="00E74A46">
        <w:t>,</w:t>
      </w:r>
      <w:r w:rsidR="004947C1">
        <w:t>1</w:t>
      </w:r>
      <w:r w:rsidRPr="00E74A46">
        <w:t>% </w:t>
      </w:r>
      <w:r>
        <w:t xml:space="preserve">en </w:t>
      </w:r>
      <w:r w:rsidRPr="00E74A46">
        <w:t>2009;  Maroc 3,7% en 2010 contre 4,8% en 2009 ; Algérie 3,3% en 2010 contre 2,4% en 2009)</w:t>
      </w:r>
      <w:r w:rsidR="00456418">
        <w:t> ;</w:t>
      </w:r>
      <w:r w:rsidRPr="00E74A46">
        <w:t xml:space="preserve"> </w:t>
      </w:r>
    </w:p>
    <w:p w:rsidR="005E002E" w:rsidRPr="008D2996" w:rsidRDefault="005E002E" w:rsidP="005E002E">
      <w:pPr>
        <w:numPr>
          <w:ilvl w:val="0"/>
          <w:numId w:val="14"/>
        </w:numPr>
        <w:tabs>
          <w:tab w:val="clear" w:pos="360"/>
          <w:tab w:val="num" w:pos="567"/>
        </w:tabs>
        <w:ind w:left="567" w:hanging="283"/>
      </w:pPr>
      <w:r w:rsidRPr="00E74A46">
        <w:t>de la croissance des investissements locaux et également par la présence d’opérateurs financiers étrangers renforçant les investissements et le développement des infrastructures locales.</w:t>
      </w:r>
    </w:p>
    <w:p w:rsidR="005E002E" w:rsidRPr="008D2996" w:rsidRDefault="005E002E" w:rsidP="005E002E">
      <w:pPr>
        <w:rPr>
          <w:sz w:val="10"/>
          <w:szCs w:val="10"/>
        </w:rPr>
      </w:pPr>
    </w:p>
    <w:p w:rsidR="005E002E" w:rsidRPr="00FF5813" w:rsidRDefault="005E002E" w:rsidP="005E002E">
      <w:r w:rsidRPr="00FF5813">
        <w:t>Le marché maghrébin</w:t>
      </w:r>
      <w:r w:rsidRPr="008D4A36">
        <w:rPr>
          <w:vertAlign w:val="superscript"/>
        </w:rPr>
        <w:footnoteReference w:id="4"/>
      </w:r>
      <w:r w:rsidR="00680258">
        <w:t xml:space="preserve"> </w:t>
      </w:r>
      <w:r w:rsidRPr="00FF5813">
        <w:t xml:space="preserve">des assurances demeure cependant de </w:t>
      </w:r>
      <w:r>
        <w:t>faible</w:t>
      </w:r>
      <w:r w:rsidRPr="00FF5813">
        <w:t xml:space="preserve"> taille, a</w:t>
      </w:r>
      <w:r>
        <w:t xml:space="preserve">vec un volume global de primes, </w:t>
      </w:r>
      <w:r w:rsidRPr="00FF5813">
        <w:t xml:space="preserve">de </w:t>
      </w:r>
      <w:r>
        <w:t>3</w:t>
      </w:r>
      <w:r w:rsidR="00680258">
        <w:t> 940</w:t>
      </w:r>
      <w:r>
        <w:t xml:space="preserve"> </w:t>
      </w:r>
      <w:r w:rsidRPr="00FF5813">
        <w:t xml:space="preserve"> millions USD, soit </w:t>
      </w:r>
      <w:r>
        <w:t xml:space="preserve"> </w:t>
      </w:r>
      <w:r w:rsidR="00680258">
        <w:t>5,9</w:t>
      </w:r>
      <w:r>
        <w:t xml:space="preserve">% du marché africain et </w:t>
      </w:r>
      <w:r w:rsidRPr="00FF5813">
        <w:t>0,</w:t>
      </w:r>
      <w:r>
        <w:t>091</w:t>
      </w:r>
      <w:r w:rsidRPr="00FF5813">
        <w:t>% du marché mondial (0,0</w:t>
      </w:r>
      <w:r>
        <w:t>18</w:t>
      </w:r>
      <w:r w:rsidRPr="00FF5813">
        <w:t>% pour la Tunisie</w:t>
      </w:r>
      <w:r>
        <w:t>,</w:t>
      </w:r>
      <w:r w:rsidRPr="00FF5813">
        <w:t xml:space="preserve"> 0,0</w:t>
      </w:r>
      <w:r w:rsidR="00680258">
        <w:t>25</w:t>
      </w:r>
      <w:r>
        <w:t xml:space="preserve">% pour l’Algérie </w:t>
      </w:r>
      <w:r w:rsidRPr="00FF5813">
        <w:t>et 0,0</w:t>
      </w:r>
      <w:r>
        <w:t>48</w:t>
      </w:r>
      <w:r w:rsidRPr="00FF5813">
        <w:t>% pour le Maroc).</w:t>
      </w:r>
    </w:p>
    <w:p w:rsidR="005E002E" w:rsidRDefault="005E002E" w:rsidP="005E002E">
      <w:r w:rsidRPr="009F3B1E">
        <w:lastRenderedPageBreak/>
        <w:t>Bien positionnés par rapport aux autres pays africains, les pays du Maghreb le sont moins comparativement aux pays développés de diverses zones</w:t>
      </w:r>
      <w:r>
        <w:t xml:space="preserve">. </w:t>
      </w:r>
    </w:p>
    <w:p w:rsidR="005E002E" w:rsidRPr="008D2996" w:rsidRDefault="005E002E" w:rsidP="005E002E">
      <w:r w:rsidRPr="00E74A46">
        <w:t>Ils présentent des taux de pénétration et densité faibles relativement à la moyenne mondiale qui est de 6,</w:t>
      </w:r>
      <w:r w:rsidR="00680258">
        <w:t>9</w:t>
      </w:r>
      <w:r w:rsidRPr="00E74A46">
        <w:t xml:space="preserve">% pour le taux de pénétration et de 627 USD pour la densité, même si ces taux n’ont pas cessé d’augmenter durant les dernières années sous l’impulsion de la forte dynamique de la branche </w:t>
      </w:r>
      <w:r w:rsidR="00680258">
        <w:t>« a</w:t>
      </w:r>
      <w:r w:rsidRPr="00E74A46">
        <w:t>utomobile</w:t>
      </w:r>
      <w:r w:rsidR="00680258">
        <w:t> »</w:t>
      </w:r>
      <w:r w:rsidRPr="00E74A46">
        <w:t>, de l’évolution soutenue et du développement significatif de l’investissement privé et public et des infrastructures qui ont permis l’augmentation du nombre d’entreprises et de leurs risques.</w:t>
      </w:r>
    </w:p>
    <w:p w:rsidR="005E002E" w:rsidRPr="008D2996" w:rsidRDefault="005E002E" w:rsidP="005E002E">
      <w:r w:rsidRPr="00E74A46">
        <w:t>Le Maroc avec un taux de pénétration de 2,</w:t>
      </w:r>
      <w:r w:rsidR="00B76C9B">
        <w:t>26</w:t>
      </w:r>
      <w:r w:rsidRPr="00E74A46">
        <w:t>% (y compris les assurances concernant les accidents de travail et les assurances maladie) est classé 48</w:t>
      </w:r>
      <w:r w:rsidRPr="00E74A46">
        <w:rPr>
          <w:vertAlign w:val="superscript"/>
        </w:rPr>
        <w:t>ème</w:t>
      </w:r>
      <w:r w:rsidRPr="00E74A46">
        <w:t xml:space="preserve">  au niveau mondial (50</w:t>
      </w:r>
      <w:r w:rsidRPr="00E74A46">
        <w:rPr>
          <w:vertAlign w:val="superscript"/>
        </w:rPr>
        <w:t>ème</w:t>
      </w:r>
      <w:r w:rsidRPr="00E74A46">
        <w:t xml:space="preserve"> en 2009), suivi de la Tunisie (1,</w:t>
      </w:r>
      <w:r w:rsidR="00B76C9B">
        <w:t>76</w:t>
      </w:r>
      <w:r w:rsidRPr="00E74A46">
        <w:t>%) avec la 67</w:t>
      </w:r>
      <w:r w:rsidRPr="00E74A46">
        <w:rPr>
          <w:vertAlign w:val="superscript"/>
        </w:rPr>
        <w:t>ème</w:t>
      </w:r>
      <w:r w:rsidRPr="00E74A46">
        <w:t xml:space="preserve"> place, alors que l’Algérie occupe la 84</w:t>
      </w:r>
      <w:r w:rsidRPr="00E74A46">
        <w:rPr>
          <w:vertAlign w:val="superscript"/>
        </w:rPr>
        <w:t>ème</w:t>
      </w:r>
      <w:r w:rsidRPr="00E74A46">
        <w:t xml:space="preserve"> place sur un total de 88 pays pour un taux de pénétration de 0,67%.</w:t>
      </w:r>
    </w:p>
    <w:p w:rsidR="005E002E" w:rsidRPr="008D2996" w:rsidRDefault="005E002E" w:rsidP="005E002E">
      <w:r w:rsidRPr="00E74A46">
        <w:t>Quant à la densité (prime par tête), la Tunisie occupe la 71</w:t>
      </w:r>
      <w:r w:rsidRPr="00E74A46">
        <w:rPr>
          <w:vertAlign w:val="superscript"/>
        </w:rPr>
        <w:t>ème</w:t>
      </w:r>
      <w:r w:rsidRPr="00E74A46">
        <w:t xml:space="preserve"> place p</w:t>
      </w:r>
      <w:r w:rsidR="00B76C9B">
        <w:t>our une prime en assurance de 72,8</w:t>
      </w:r>
      <w:r w:rsidRPr="00E74A46">
        <w:t xml:space="preserve"> USD par habitant, suivie du Maroc (65 $) avec le 73</w:t>
      </w:r>
      <w:r w:rsidRPr="00E74A46">
        <w:rPr>
          <w:vertAlign w:val="superscript"/>
        </w:rPr>
        <w:t>ème</w:t>
      </w:r>
      <w:r w:rsidRPr="00E74A46">
        <w:t xml:space="preserve"> rang, alors que l’Algérie occupe la 81</w:t>
      </w:r>
      <w:r w:rsidRPr="00E74A46">
        <w:rPr>
          <w:vertAlign w:val="superscript"/>
        </w:rPr>
        <w:t>ème</w:t>
      </w:r>
      <w:r w:rsidRPr="00E74A46">
        <w:t xml:space="preserve"> place pour une densité de 30 USD. </w:t>
      </w:r>
    </w:p>
    <w:p w:rsidR="005E002E" w:rsidRPr="008D2996" w:rsidRDefault="005E002E" w:rsidP="00CD4927">
      <w:pPr>
        <w:pStyle w:val="Titre1"/>
        <w:spacing w:before="360" w:after="60"/>
        <w:rPr>
          <w:color w:val="000000"/>
        </w:rPr>
      </w:pPr>
      <w:bookmarkStart w:id="32" w:name="_Toc327883401"/>
      <w:bookmarkStart w:id="33" w:name="_Toc327916502"/>
      <w:r w:rsidRPr="00E74A46">
        <w:rPr>
          <w:color w:val="000000"/>
        </w:rPr>
        <w:t>Le Marché Algérien dE L’Assurance</w:t>
      </w:r>
      <w:bookmarkEnd w:id="32"/>
      <w:bookmarkEnd w:id="33"/>
    </w:p>
    <w:p w:rsidR="005E002E" w:rsidRPr="008D2996" w:rsidRDefault="005E002E" w:rsidP="005E002E">
      <w:pPr>
        <w:spacing w:after="0" w:line="240" w:lineRule="auto"/>
      </w:pPr>
      <w:r w:rsidRPr="00E74A46">
        <w:t>L’Algérie, malgré la contraction du volume des exportations des hydrocarbures (5</w:t>
      </w:r>
      <w:r w:rsidRPr="00E74A46">
        <w:rPr>
          <w:vertAlign w:val="superscript"/>
        </w:rPr>
        <w:t>ème</w:t>
      </w:r>
      <w:r w:rsidRPr="00E74A46">
        <w:t xml:space="preserve"> recul consécutif), </w:t>
      </w:r>
      <w:r>
        <w:t xml:space="preserve">a maintenu le  rythme de la  croissance économique observée en 2009. </w:t>
      </w:r>
    </w:p>
    <w:p w:rsidR="005E002E" w:rsidRPr="008D2996" w:rsidRDefault="005E002E" w:rsidP="005E002E">
      <w:pPr>
        <w:spacing w:before="240" w:after="240" w:line="240" w:lineRule="auto"/>
      </w:pPr>
      <w:r w:rsidRPr="00E74A46">
        <w:t>Néanmoins  la croissance hors hydrocarbure</w:t>
      </w:r>
      <w:r>
        <w:t>s</w:t>
      </w:r>
      <w:r w:rsidRPr="00E74A46">
        <w:t xml:space="preserve"> </w:t>
      </w:r>
      <w:r>
        <w:t xml:space="preserve">connaît une évolution de </w:t>
      </w:r>
      <w:r w:rsidRPr="00E74A46">
        <w:t xml:space="preserve">6% en 2010 contre 9,3% </w:t>
      </w:r>
      <w:r>
        <w:t xml:space="preserve"> l’année précédente</w:t>
      </w:r>
      <w:r w:rsidRPr="00E74A46">
        <w:t xml:space="preserve">. Cette croissance qui </w:t>
      </w:r>
      <w:r>
        <w:t>est</w:t>
      </w:r>
      <w:r w:rsidRPr="00E74A46">
        <w:t xml:space="preserve"> favorisée par la vitalité de certains secteurs hors hydrocarbure</w:t>
      </w:r>
      <w:r>
        <w:t>s</w:t>
      </w:r>
      <w:r w:rsidRPr="00E74A46">
        <w:t xml:space="preserve"> comme celui des services (+6,9%) et du bâtiment et travaux publics (BTP) (+6,6%), a permis au PIB de dépasser son rythme de 200</w:t>
      </w:r>
      <w:r>
        <w:t>9</w:t>
      </w:r>
      <w:r w:rsidRPr="00E74A46">
        <w:t xml:space="preserve"> (qui est modéré à 2,4%) pour s’établir à 3,3%. </w:t>
      </w:r>
    </w:p>
    <w:p w:rsidR="005E002E" w:rsidRPr="008D2996" w:rsidRDefault="005E002E" w:rsidP="00456418">
      <w:pPr>
        <w:spacing w:before="120" w:after="0" w:line="240" w:lineRule="auto"/>
        <w:ind w:left="538"/>
      </w:pPr>
      <w:r w:rsidRPr="00E74A46">
        <w:t>Sur l</w:t>
      </w:r>
      <w:r w:rsidR="00286B1A">
        <w:t>e</w:t>
      </w:r>
      <w:r w:rsidRPr="00E74A46">
        <w:t xml:space="preserve"> plan des équilibres macro-financiers, en outre, l’économie nationale s’est également caractérisée en 2010 par : </w:t>
      </w:r>
    </w:p>
    <w:p w:rsidR="005E002E" w:rsidRPr="008D2996" w:rsidRDefault="005E002E" w:rsidP="005E002E">
      <w:pPr>
        <w:numPr>
          <w:ilvl w:val="0"/>
          <w:numId w:val="23"/>
        </w:numPr>
        <w:tabs>
          <w:tab w:val="clear" w:pos="720"/>
          <w:tab w:val="num" w:pos="540"/>
        </w:tabs>
        <w:spacing w:before="120" w:after="0" w:line="240" w:lineRule="auto"/>
        <w:ind w:left="538" w:hanging="357"/>
      </w:pPr>
      <w:r>
        <w:t>u</w:t>
      </w:r>
      <w:r w:rsidRPr="00E74A46">
        <w:t xml:space="preserve">ne  balance des paiements qui s’est nettement redressée en 2010, suite à l’important excédent du compte commercial. Le solde global de la balance des paiements est passé de 3,86 </w:t>
      </w:r>
      <w:r w:rsidR="009135A6">
        <w:t>milliard</w:t>
      </w:r>
      <w:r w:rsidRPr="00E74A46">
        <w:t xml:space="preserve"> d’USD à 15,58 </w:t>
      </w:r>
      <w:r w:rsidR="009135A6">
        <w:t>milliard</w:t>
      </w:r>
      <w:r w:rsidRPr="00E74A46">
        <w:t xml:space="preserve"> d’USD à fin 2010 dont 12,16 </w:t>
      </w:r>
      <w:r w:rsidR="009135A6">
        <w:t>milliard</w:t>
      </w:r>
      <w:r w:rsidRPr="00E74A46">
        <w:t xml:space="preserve"> USD réalisé par l’excédent commercial (0,41 </w:t>
      </w:r>
      <w:r w:rsidR="009135A6">
        <w:t>milliard</w:t>
      </w:r>
      <w:r w:rsidRPr="00E74A46">
        <w:t xml:space="preserve"> d’USD en 2009), quant au solde du compte capital</w:t>
      </w:r>
      <w:r>
        <w:t>,</w:t>
      </w:r>
      <w:r w:rsidRPr="00E74A46">
        <w:t xml:space="preserve"> il détient 3,42 </w:t>
      </w:r>
      <w:r w:rsidR="009135A6">
        <w:t>milliard</w:t>
      </w:r>
      <w:r w:rsidRPr="00E74A46">
        <w:t xml:space="preserve"> USD</w:t>
      </w:r>
      <w:r w:rsidR="00456418">
        <w:t> ;</w:t>
      </w:r>
    </w:p>
    <w:p w:rsidR="005E002E" w:rsidRPr="008D2996" w:rsidRDefault="005E002E" w:rsidP="005E002E">
      <w:pPr>
        <w:numPr>
          <w:ilvl w:val="0"/>
          <w:numId w:val="23"/>
        </w:numPr>
        <w:tabs>
          <w:tab w:val="clear" w:pos="720"/>
          <w:tab w:val="num" w:pos="540"/>
        </w:tabs>
        <w:spacing w:before="120" w:after="0" w:line="240" w:lineRule="auto"/>
        <w:ind w:left="538" w:hanging="357"/>
      </w:pPr>
      <w:r>
        <w:t>u</w:t>
      </w:r>
      <w:r w:rsidRPr="00E74A46">
        <w:t xml:space="preserve">n montant des réserves de change de 162 </w:t>
      </w:r>
      <w:r w:rsidR="009135A6">
        <w:t>milliard</w:t>
      </w:r>
      <w:r w:rsidRPr="00E74A46">
        <w:t xml:space="preserve"> de dollars (149 </w:t>
      </w:r>
      <w:r w:rsidR="009135A6">
        <w:t>milliard</w:t>
      </w:r>
      <w:r w:rsidRPr="00E74A46">
        <w:t xml:space="preserve"> de dollars en 2009), ce qui représente trois années d'importations de biens et de services, ces réserves sont composées à 44% de dollars et 47% d’euros, les 9% restants sont composées de plusieurs autres monnaies étrangères</w:t>
      </w:r>
      <w:r w:rsidR="00456418">
        <w:t> ;</w:t>
      </w:r>
      <w:r w:rsidRPr="00E74A46">
        <w:t xml:space="preserve">  </w:t>
      </w:r>
    </w:p>
    <w:p w:rsidR="005E002E" w:rsidRPr="008D2996" w:rsidRDefault="005E002E" w:rsidP="005E002E">
      <w:pPr>
        <w:numPr>
          <w:ilvl w:val="0"/>
          <w:numId w:val="23"/>
        </w:numPr>
        <w:tabs>
          <w:tab w:val="clear" w:pos="720"/>
          <w:tab w:val="num" w:pos="540"/>
        </w:tabs>
        <w:spacing w:before="120" w:line="240" w:lineRule="auto"/>
        <w:ind w:left="538" w:hanging="357"/>
      </w:pPr>
      <w:r w:rsidRPr="00E74A46">
        <w:t xml:space="preserve">une inflation qui se redresse, elle </w:t>
      </w:r>
      <w:r>
        <w:t>passe</w:t>
      </w:r>
      <w:r w:rsidRPr="00E74A46">
        <w:t xml:space="preserve"> de 5,7% </w:t>
      </w:r>
      <w:r>
        <w:t xml:space="preserve"> </w:t>
      </w:r>
      <w:r w:rsidRPr="00E74A46">
        <w:t>en  2009 à 3,9% en 2010</w:t>
      </w:r>
      <w:r>
        <w:t xml:space="preserve"> et un</w:t>
      </w:r>
      <w:r w:rsidRPr="00E74A46">
        <w:t xml:space="preserve"> taux de chômage </w:t>
      </w:r>
      <w:r>
        <w:t>en</w:t>
      </w:r>
      <w:r w:rsidRPr="00E74A46">
        <w:t xml:space="preserve"> baisse </w:t>
      </w:r>
      <w:r>
        <w:t xml:space="preserve">minime </w:t>
      </w:r>
      <w:r w:rsidRPr="00E74A46">
        <w:t>de 0,2%</w:t>
      </w:r>
      <w:r>
        <w:t xml:space="preserve"> (</w:t>
      </w:r>
      <w:r w:rsidRPr="00E74A46">
        <w:t>10% contre 10,2% en 2009</w:t>
      </w:r>
      <w:r>
        <w:t>)</w:t>
      </w:r>
      <w:r w:rsidRPr="00E74A46">
        <w:t>.</w:t>
      </w:r>
    </w:p>
    <w:p w:rsidR="005E002E" w:rsidRPr="008D2996" w:rsidRDefault="005E002E" w:rsidP="005E002E">
      <w:pPr>
        <w:spacing w:after="0" w:line="240" w:lineRule="auto"/>
        <w:ind w:left="181"/>
      </w:pPr>
    </w:p>
    <w:p w:rsidR="005E002E" w:rsidRPr="008D2996" w:rsidRDefault="00AF051C" w:rsidP="005E002E">
      <w:r>
        <w:t xml:space="preserve">Dans ce contexte économique, </w:t>
      </w:r>
      <w:r w:rsidR="005E002E" w:rsidRPr="00E74A46">
        <w:t xml:space="preserve">le secteur algérien des assurances </w:t>
      </w:r>
      <w:r w:rsidR="005E002E">
        <w:t>connaît</w:t>
      </w:r>
      <w:r w:rsidR="005E002E" w:rsidRPr="00E74A46">
        <w:t xml:space="preserve"> une évolution du chiffre d’affaires (+4</w:t>
      </w:r>
      <w:r w:rsidR="00A965EE">
        <w:t>,4</w:t>
      </w:r>
      <w:r w:rsidR="005E002E" w:rsidRPr="00E74A46">
        <w:t>%) contre (+14</w:t>
      </w:r>
      <w:r w:rsidR="00A965EE">
        <w:t>,2</w:t>
      </w:r>
      <w:r w:rsidR="005E002E" w:rsidRPr="00E74A46">
        <w:t>%) en 2009</w:t>
      </w:r>
      <w:r w:rsidR="005E002E">
        <w:t xml:space="preserve">. </w:t>
      </w:r>
    </w:p>
    <w:p w:rsidR="005E002E" w:rsidRPr="008D2996" w:rsidRDefault="005E002E" w:rsidP="005E002E">
      <w:r w:rsidRPr="00E74A46">
        <w:t>La production globale d’assurance</w:t>
      </w:r>
      <w:r w:rsidR="00723FC7">
        <w:t xml:space="preserve"> (</w:t>
      </w:r>
      <w:r w:rsidR="006C32CD">
        <w:t>y compris les acceptations internationales)</w:t>
      </w:r>
      <w:r w:rsidRPr="00E74A46">
        <w:t xml:space="preserve">, de près de 81,7 </w:t>
      </w:r>
      <w:r w:rsidR="009135A6">
        <w:t>milliard</w:t>
      </w:r>
      <w:r w:rsidRPr="00E74A46">
        <w:t xml:space="preserve"> de dinars,</w:t>
      </w:r>
      <w:r>
        <w:t xml:space="preserve"> soit + 4</w:t>
      </w:r>
      <w:r w:rsidR="006C32CD">
        <w:t>,2</w:t>
      </w:r>
      <w:r>
        <w:t>% par rapport à 2009, engendre</w:t>
      </w:r>
      <w:r w:rsidRPr="00E74A46">
        <w:t xml:space="preserve"> une production additionnelle globale avoisinant les 3,3 </w:t>
      </w:r>
      <w:r w:rsidR="009135A6">
        <w:t>milliard</w:t>
      </w:r>
      <w:r w:rsidRPr="00E74A46">
        <w:t xml:space="preserve"> de dinars. </w:t>
      </w:r>
    </w:p>
    <w:p w:rsidR="005E002E" w:rsidRPr="008D2996" w:rsidRDefault="005E002E" w:rsidP="005E002E">
      <w:r w:rsidRPr="00E74A46">
        <w:lastRenderedPageBreak/>
        <w:t>Les tendances antérieures ont subsisté, en particulier </w:t>
      </w:r>
      <w:r>
        <w:t>: prédominance de la branche « a</w:t>
      </w:r>
      <w:r w:rsidRPr="00E74A46">
        <w:t>utomobil</w:t>
      </w:r>
      <w:r w:rsidR="00723FC7">
        <w:t>e » avec 48,5% suivie de l’ « I</w:t>
      </w:r>
      <w:r w:rsidRPr="00E74A46">
        <w:t xml:space="preserve">RD » </w:t>
      </w:r>
      <w:r w:rsidR="006C32CD">
        <w:t xml:space="preserve">(Incendie, Risques Divers) </w:t>
      </w:r>
      <w:r w:rsidRPr="00E74A46">
        <w:t>avec 32,</w:t>
      </w:r>
      <w:r w:rsidR="00250487">
        <w:t>4</w:t>
      </w:r>
      <w:r w:rsidRPr="00E74A46">
        <w:t>% du portefeuille.</w:t>
      </w:r>
    </w:p>
    <w:p w:rsidR="005E002E" w:rsidRPr="008D2996" w:rsidRDefault="005E002E" w:rsidP="005E002E">
      <w:r w:rsidRPr="00E74A46">
        <w:t xml:space="preserve">Les sociétés publiques et parapubliques </w:t>
      </w:r>
      <w:r>
        <w:t xml:space="preserve">maintiennent </w:t>
      </w:r>
      <w:r w:rsidRPr="00E74A46">
        <w:t>leur part de marché qui s’établit à plus de 74</w:t>
      </w:r>
      <w:r w:rsidR="00250487">
        <w:t>,</w:t>
      </w:r>
      <w:r w:rsidR="0083338F">
        <w:t>2</w:t>
      </w:r>
      <w:r w:rsidRPr="00E74A46">
        <w:t xml:space="preserve">% </w:t>
      </w:r>
      <w:r w:rsidR="00EB011B">
        <w:t xml:space="preserve"> </w:t>
      </w:r>
      <w:r w:rsidRPr="00E74A46">
        <w:t>dont 2</w:t>
      </w:r>
      <w:r w:rsidR="00EB011B">
        <w:t>4,8</w:t>
      </w:r>
      <w:r w:rsidRPr="00E74A46">
        <w:t>% pour la SAA, suivie par la CAAT et la CAAR avec des taux respectifs de 1</w:t>
      </w:r>
      <w:r>
        <w:t>7</w:t>
      </w:r>
      <w:r w:rsidR="00250487">
        <w:t>,4</w:t>
      </w:r>
      <w:r w:rsidRPr="00E74A46">
        <w:t>% et 1</w:t>
      </w:r>
      <w:r w:rsidR="00250487">
        <w:t>5,8</w:t>
      </w:r>
      <w:r w:rsidRPr="00E74A46">
        <w:t>% du marché. La CASH, grâce à l’assurance des grands risques d’entreprises, les risques énergétiques notamment, détient 9,2% du marché des assurances.</w:t>
      </w:r>
    </w:p>
    <w:p w:rsidR="005E002E" w:rsidRDefault="005E002E" w:rsidP="005E002E">
      <w:pPr>
        <w:spacing w:line="240" w:lineRule="auto"/>
      </w:pPr>
      <w:r w:rsidRPr="00E74A46">
        <w:t>Rapportée au PIB ou à la population, la production du secteur demeure en deçà de ses capacités réelles  comparativement aux capacités nationales et à d’autres marchés : le taux de pénétration et la densité d’assurance restent encore très bas.</w:t>
      </w:r>
    </w:p>
    <w:p w:rsidR="00DB2074" w:rsidRPr="008D2996" w:rsidRDefault="00DB2074" w:rsidP="005E002E">
      <w:pPr>
        <w:spacing w:line="240" w:lineRule="auto"/>
      </w:pPr>
    </w:p>
    <w:p w:rsidR="005E002E" w:rsidRPr="008D2996" w:rsidRDefault="005E002E" w:rsidP="005E002E">
      <w:pPr>
        <w:spacing w:line="240" w:lineRule="auto"/>
      </w:pPr>
    </w:p>
    <w:p w:rsidR="005E002E" w:rsidRPr="008D2996" w:rsidRDefault="005E002E" w:rsidP="005E002E">
      <w:pPr>
        <w:spacing w:before="120"/>
        <w:jc w:val="center"/>
        <w:rPr>
          <w:rStyle w:val="Titredulivre"/>
          <w:sz w:val="28"/>
          <w:szCs w:val="28"/>
          <w:u w:val="double"/>
        </w:rPr>
      </w:pPr>
      <w:r>
        <w:rPr>
          <w:rStyle w:val="Titredulivre"/>
          <w:sz w:val="28"/>
          <w:szCs w:val="28"/>
          <w:u w:val="double"/>
        </w:rPr>
        <w:t>Taux de Pénétration et Densité de la production en assurance</w:t>
      </w:r>
    </w:p>
    <w:tbl>
      <w:tblPr>
        <w:tblW w:w="10143" w:type="dxa"/>
        <w:tblInd w:w="65" w:type="dxa"/>
        <w:tblCellMar>
          <w:left w:w="70" w:type="dxa"/>
          <w:right w:w="70" w:type="dxa"/>
        </w:tblCellMar>
        <w:tblLook w:val="04A0"/>
      </w:tblPr>
      <w:tblGrid>
        <w:gridCol w:w="5283"/>
        <w:gridCol w:w="2499"/>
        <w:gridCol w:w="2361"/>
      </w:tblGrid>
      <w:tr w:rsidR="005E002E" w:rsidRPr="008D2996" w:rsidTr="005E002E">
        <w:trPr>
          <w:trHeight w:val="505"/>
        </w:trPr>
        <w:tc>
          <w:tcPr>
            <w:tcW w:w="5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left"/>
              <w:rPr>
                <w:rFonts w:cs="Arial"/>
                <w:sz w:val="24"/>
                <w:szCs w:val="20"/>
              </w:rPr>
            </w:pPr>
            <w:r w:rsidRPr="00E74A46">
              <w:rPr>
                <w:rFonts w:cs="Arial"/>
                <w:sz w:val="24"/>
                <w:szCs w:val="20"/>
              </w:rPr>
              <w:t> </w:t>
            </w:r>
          </w:p>
        </w:tc>
        <w:tc>
          <w:tcPr>
            <w:tcW w:w="2499" w:type="dxa"/>
            <w:tcBorders>
              <w:top w:val="single" w:sz="4" w:space="0" w:color="auto"/>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b/>
                <w:bCs/>
                <w:sz w:val="24"/>
                <w:szCs w:val="36"/>
              </w:rPr>
            </w:pPr>
            <w:r w:rsidRPr="00E74A46">
              <w:rPr>
                <w:rFonts w:cs="Arial"/>
                <w:b/>
                <w:bCs/>
                <w:sz w:val="24"/>
                <w:szCs w:val="36"/>
              </w:rPr>
              <w:t>2 009</w:t>
            </w:r>
          </w:p>
        </w:tc>
        <w:tc>
          <w:tcPr>
            <w:tcW w:w="2361" w:type="dxa"/>
            <w:tcBorders>
              <w:top w:val="single" w:sz="4" w:space="0" w:color="auto"/>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b/>
                <w:bCs/>
                <w:sz w:val="24"/>
                <w:szCs w:val="36"/>
              </w:rPr>
            </w:pPr>
            <w:r w:rsidRPr="00E74A46">
              <w:rPr>
                <w:rFonts w:cs="Arial"/>
                <w:b/>
                <w:bCs/>
                <w:sz w:val="24"/>
                <w:szCs w:val="36"/>
              </w:rPr>
              <w:t>2 010</w:t>
            </w:r>
          </w:p>
        </w:tc>
      </w:tr>
      <w:tr w:rsidR="005E002E" w:rsidRPr="008D2996" w:rsidTr="005E002E">
        <w:trPr>
          <w:trHeight w:val="777"/>
        </w:trPr>
        <w:tc>
          <w:tcPr>
            <w:tcW w:w="5283" w:type="dxa"/>
            <w:tcBorders>
              <w:top w:val="nil"/>
              <w:left w:val="single" w:sz="4" w:space="0" w:color="auto"/>
              <w:bottom w:val="single" w:sz="4" w:space="0" w:color="auto"/>
              <w:right w:val="single" w:sz="4" w:space="0" w:color="auto"/>
            </w:tcBorders>
            <w:shd w:val="clear" w:color="000000" w:fill="FAC090"/>
            <w:vAlign w:val="center"/>
            <w:hideMark/>
          </w:tcPr>
          <w:p w:rsidR="005E002E" w:rsidRPr="008D2996" w:rsidRDefault="005E002E" w:rsidP="005E002E">
            <w:pPr>
              <w:spacing w:after="0" w:line="240" w:lineRule="auto"/>
              <w:jc w:val="center"/>
              <w:rPr>
                <w:rFonts w:cs="Arial"/>
                <w:b/>
                <w:bCs/>
                <w:sz w:val="24"/>
                <w:szCs w:val="28"/>
              </w:rPr>
            </w:pPr>
            <w:r w:rsidRPr="00E74A46">
              <w:rPr>
                <w:rFonts w:cs="Arial"/>
                <w:b/>
                <w:bCs/>
                <w:sz w:val="24"/>
                <w:szCs w:val="28"/>
              </w:rPr>
              <w:t xml:space="preserve"> Chiffres d'affaires</w:t>
            </w:r>
            <w:r w:rsidRPr="00E74A46">
              <w:rPr>
                <w:rFonts w:cs="Arial"/>
                <w:b/>
                <w:bCs/>
                <w:sz w:val="24"/>
                <w:szCs w:val="28"/>
              </w:rPr>
              <w:br/>
              <w:t xml:space="preserve">(En milliers de DA hors acceptations Internationales) </w:t>
            </w:r>
          </w:p>
        </w:tc>
        <w:tc>
          <w:tcPr>
            <w:tcW w:w="2499" w:type="dxa"/>
            <w:tcBorders>
              <w:top w:val="nil"/>
              <w:left w:val="nil"/>
              <w:bottom w:val="single" w:sz="4" w:space="0" w:color="auto"/>
              <w:right w:val="single" w:sz="4" w:space="0" w:color="auto"/>
            </w:tcBorders>
            <w:shd w:val="clear" w:color="000000" w:fill="FAC090"/>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 xml:space="preserve">77 678 </w:t>
            </w:r>
            <w:r>
              <w:rPr>
                <w:rFonts w:cs="Arial"/>
                <w:sz w:val="24"/>
                <w:szCs w:val="28"/>
              </w:rPr>
              <w:t>444</w:t>
            </w:r>
          </w:p>
        </w:tc>
        <w:tc>
          <w:tcPr>
            <w:tcW w:w="2361" w:type="dxa"/>
            <w:tcBorders>
              <w:top w:val="nil"/>
              <w:left w:val="nil"/>
              <w:bottom w:val="single" w:sz="4" w:space="0" w:color="auto"/>
              <w:right w:val="single" w:sz="4" w:space="0" w:color="auto"/>
            </w:tcBorders>
            <w:shd w:val="clear" w:color="000000" w:fill="FAC090"/>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81 082 4</w:t>
            </w:r>
            <w:r>
              <w:rPr>
                <w:rFonts w:cs="Arial"/>
                <w:sz w:val="24"/>
                <w:szCs w:val="28"/>
              </w:rPr>
              <w:t>91</w:t>
            </w:r>
          </w:p>
        </w:tc>
      </w:tr>
      <w:tr w:rsidR="005E002E" w:rsidRPr="008D2996" w:rsidTr="005E002E">
        <w:trPr>
          <w:trHeight w:val="389"/>
        </w:trPr>
        <w:tc>
          <w:tcPr>
            <w:tcW w:w="5283" w:type="dxa"/>
            <w:tcBorders>
              <w:top w:val="nil"/>
              <w:left w:val="single" w:sz="4" w:space="0" w:color="auto"/>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b/>
                <w:bCs/>
                <w:sz w:val="24"/>
                <w:szCs w:val="28"/>
              </w:rPr>
            </w:pPr>
            <w:r w:rsidRPr="00E74A46">
              <w:rPr>
                <w:rFonts w:cs="Arial"/>
                <w:b/>
                <w:bCs/>
                <w:sz w:val="24"/>
                <w:szCs w:val="28"/>
              </w:rPr>
              <w:t xml:space="preserve"> Taux de pénétration </w:t>
            </w:r>
          </w:p>
        </w:tc>
        <w:tc>
          <w:tcPr>
            <w:tcW w:w="2499" w:type="dxa"/>
            <w:tcBorders>
              <w:top w:val="nil"/>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sz w:val="24"/>
                <w:szCs w:val="28"/>
              </w:rPr>
            </w:pPr>
            <w:r>
              <w:rPr>
                <w:rFonts w:cs="Arial"/>
                <w:sz w:val="24"/>
                <w:szCs w:val="28"/>
              </w:rPr>
              <w:t>0,77</w:t>
            </w:r>
            <w:r w:rsidRPr="00E74A46">
              <w:rPr>
                <w:rFonts w:cs="Arial"/>
                <w:sz w:val="24"/>
                <w:szCs w:val="28"/>
              </w:rPr>
              <w:t>%</w:t>
            </w:r>
          </w:p>
        </w:tc>
        <w:tc>
          <w:tcPr>
            <w:tcW w:w="2361" w:type="dxa"/>
            <w:tcBorders>
              <w:top w:val="nil"/>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0,67%</w:t>
            </w:r>
          </w:p>
        </w:tc>
      </w:tr>
      <w:tr w:rsidR="005E002E" w:rsidRPr="008D2996" w:rsidTr="005E002E">
        <w:trPr>
          <w:trHeight w:val="389"/>
        </w:trPr>
        <w:tc>
          <w:tcPr>
            <w:tcW w:w="5283" w:type="dxa"/>
            <w:tcBorders>
              <w:top w:val="nil"/>
              <w:left w:val="single" w:sz="4" w:space="0" w:color="auto"/>
              <w:bottom w:val="single" w:sz="4" w:space="0" w:color="auto"/>
              <w:right w:val="single" w:sz="4" w:space="0" w:color="auto"/>
            </w:tcBorders>
            <w:shd w:val="clear" w:color="000000" w:fill="FAC090"/>
            <w:noWrap/>
            <w:vAlign w:val="center"/>
            <w:hideMark/>
          </w:tcPr>
          <w:p w:rsidR="005E002E" w:rsidRPr="008D2996" w:rsidRDefault="005E002E" w:rsidP="005E002E">
            <w:pPr>
              <w:spacing w:after="0" w:line="240" w:lineRule="auto"/>
              <w:jc w:val="center"/>
              <w:rPr>
                <w:rFonts w:cs="Arial"/>
                <w:b/>
                <w:bCs/>
                <w:sz w:val="24"/>
                <w:szCs w:val="28"/>
              </w:rPr>
            </w:pPr>
            <w:r w:rsidRPr="00E74A46">
              <w:rPr>
                <w:rFonts w:cs="Arial"/>
                <w:b/>
                <w:bCs/>
                <w:sz w:val="24"/>
                <w:szCs w:val="28"/>
              </w:rPr>
              <w:t xml:space="preserve"> Densité (Dinar/habitant) </w:t>
            </w:r>
          </w:p>
        </w:tc>
        <w:tc>
          <w:tcPr>
            <w:tcW w:w="2499" w:type="dxa"/>
            <w:tcBorders>
              <w:top w:val="nil"/>
              <w:left w:val="nil"/>
              <w:bottom w:val="single" w:sz="4" w:space="0" w:color="auto"/>
              <w:right w:val="single" w:sz="4" w:space="0" w:color="auto"/>
            </w:tcBorders>
            <w:shd w:val="clear" w:color="000000" w:fill="FAC090"/>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2 203</w:t>
            </w:r>
          </w:p>
        </w:tc>
        <w:tc>
          <w:tcPr>
            <w:tcW w:w="2361" w:type="dxa"/>
            <w:tcBorders>
              <w:top w:val="nil"/>
              <w:left w:val="nil"/>
              <w:bottom w:val="single" w:sz="4" w:space="0" w:color="auto"/>
              <w:right w:val="single" w:sz="4" w:space="0" w:color="auto"/>
            </w:tcBorders>
            <w:shd w:val="clear" w:color="000000" w:fill="FAC090"/>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2 254</w:t>
            </w:r>
          </w:p>
        </w:tc>
      </w:tr>
      <w:tr w:rsidR="005E002E" w:rsidRPr="008D2996" w:rsidTr="005E002E">
        <w:trPr>
          <w:trHeight w:val="389"/>
        </w:trPr>
        <w:tc>
          <w:tcPr>
            <w:tcW w:w="5283" w:type="dxa"/>
            <w:tcBorders>
              <w:top w:val="nil"/>
              <w:left w:val="single" w:sz="4" w:space="0" w:color="auto"/>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b/>
                <w:bCs/>
                <w:sz w:val="24"/>
                <w:szCs w:val="28"/>
              </w:rPr>
            </w:pPr>
            <w:r w:rsidRPr="00E74A46">
              <w:rPr>
                <w:rFonts w:cs="Arial"/>
                <w:b/>
                <w:bCs/>
                <w:sz w:val="24"/>
                <w:szCs w:val="28"/>
              </w:rPr>
              <w:t xml:space="preserve"> Densité (Dollar/habitant) </w:t>
            </w:r>
          </w:p>
        </w:tc>
        <w:tc>
          <w:tcPr>
            <w:tcW w:w="2499" w:type="dxa"/>
            <w:tcBorders>
              <w:top w:val="nil"/>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30,3</w:t>
            </w:r>
            <w:r>
              <w:rPr>
                <w:rFonts w:cs="Arial"/>
                <w:sz w:val="24"/>
                <w:szCs w:val="28"/>
              </w:rPr>
              <w:t>2</w:t>
            </w:r>
          </w:p>
        </w:tc>
        <w:tc>
          <w:tcPr>
            <w:tcW w:w="2361" w:type="dxa"/>
            <w:tcBorders>
              <w:top w:val="nil"/>
              <w:left w:val="nil"/>
              <w:bottom w:val="single" w:sz="4" w:space="0" w:color="auto"/>
              <w:right w:val="single" w:sz="4" w:space="0" w:color="auto"/>
            </w:tcBorders>
            <w:shd w:val="clear" w:color="auto" w:fill="auto"/>
            <w:noWrap/>
            <w:vAlign w:val="center"/>
            <w:hideMark/>
          </w:tcPr>
          <w:p w:rsidR="005E002E" w:rsidRPr="008D2996" w:rsidRDefault="005E002E" w:rsidP="005E002E">
            <w:pPr>
              <w:spacing w:after="0" w:line="240" w:lineRule="auto"/>
              <w:jc w:val="center"/>
              <w:rPr>
                <w:rFonts w:cs="Arial"/>
                <w:sz w:val="24"/>
                <w:szCs w:val="28"/>
              </w:rPr>
            </w:pPr>
            <w:r w:rsidRPr="00E74A46">
              <w:rPr>
                <w:rFonts w:cs="Arial"/>
                <w:sz w:val="24"/>
                <w:szCs w:val="28"/>
              </w:rPr>
              <w:t>30,29</w:t>
            </w:r>
          </w:p>
        </w:tc>
      </w:tr>
    </w:tbl>
    <w:p w:rsidR="005E002E" w:rsidRPr="008D2996" w:rsidRDefault="005E002E" w:rsidP="005E002E">
      <w:pPr>
        <w:spacing w:after="0" w:line="240" w:lineRule="auto"/>
        <w:jc w:val="center"/>
      </w:pPr>
    </w:p>
    <w:p w:rsidR="005E002E" w:rsidRPr="008D2996" w:rsidRDefault="005E002E" w:rsidP="005E002E">
      <w:pPr>
        <w:spacing w:after="0" w:line="240" w:lineRule="auto"/>
        <w:jc w:val="left"/>
        <w:rPr>
          <w:noProof/>
          <w:sz w:val="24"/>
          <w:szCs w:val="24"/>
        </w:rPr>
      </w:pPr>
    </w:p>
    <w:p w:rsidR="005E002E" w:rsidRPr="008D65D9" w:rsidRDefault="005E002E" w:rsidP="005E002E">
      <w:pPr>
        <w:spacing w:after="0" w:line="240" w:lineRule="auto"/>
        <w:jc w:val="left"/>
        <w:rPr>
          <w:noProof/>
        </w:rPr>
      </w:pPr>
      <w:r w:rsidRPr="008D65D9">
        <w:rPr>
          <w:noProof/>
        </w:rPr>
        <w:t xml:space="preserve"> </w:t>
      </w:r>
      <w:r w:rsidRPr="008D65D9">
        <w:t>En matière de sinistralité, 35,</w:t>
      </w:r>
      <w:r w:rsidR="00250487" w:rsidRPr="008D65D9">
        <w:t>4</w:t>
      </w:r>
      <w:r w:rsidRPr="008D65D9">
        <w:t xml:space="preserve"> </w:t>
      </w:r>
      <w:r w:rsidR="009135A6" w:rsidRPr="008D65D9">
        <w:t>milliard</w:t>
      </w:r>
      <w:r w:rsidRPr="008D65D9">
        <w:t xml:space="preserve"> de dinars sont consacrés en 2010 par les différentes sociétés d’assurance à la réparation des dommages. Ces indemnisations sont en baisse de 1</w:t>
      </w:r>
      <w:r w:rsidR="00250487" w:rsidRPr="008D65D9">
        <w:t>,5</w:t>
      </w:r>
      <w:r w:rsidRPr="008D65D9">
        <w:t>%, la branche automobile détient 74</w:t>
      </w:r>
      <w:r w:rsidR="00250487" w:rsidRPr="008D65D9">
        <w:t>,</w:t>
      </w:r>
      <w:r w:rsidR="00C01E58" w:rsidRPr="008D65D9">
        <w:t>7</w:t>
      </w:r>
      <w:r w:rsidRPr="008D65D9">
        <w:t>% de ce montant.</w:t>
      </w:r>
    </w:p>
    <w:p w:rsidR="005E002E" w:rsidRDefault="005E002E" w:rsidP="005E002E">
      <w:pPr>
        <w:spacing w:before="120" w:after="0" w:line="240" w:lineRule="auto"/>
        <w:jc w:val="left"/>
      </w:pPr>
      <w:r w:rsidRPr="008D65D9">
        <w:t>Le taux de règlement des sinistres, mesure clé de la qualité de service, marque une légère baisse, il passe de 40,6% en 2009 à 39,3 % en 2010, avec un ralentissement de l’évolution des indemnisations (3</w:t>
      </w:r>
      <w:r w:rsidR="007A0EFE" w:rsidRPr="008D65D9">
        <w:t>,1</w:t>
      </w:r>
      <w:r w:rsidRPr="008D65D9">
        <w:t>% en 2009) accompagné de la baisse du rythme de  l’évolution du stock de sinistres à payer qui est de 5,</w:t>
      </w:r>
      <w:r w:rsidR="007A0EFE" w:rsidRPr="008D65D9">
        <w:t>6</w:t>
      </w:r>
      <w:r w:rsidRPr="008D65D9">
        <w:t>% (+</w:t>
      </w:r>
      <w:r w:rsidR="007A0EFE" w:rsidRPr="008D65D9">
        <w:t>7,</w:t>
      </w:r>
      <w:r w:rsidRPr="008D65D9">
        <w:t>8% en 2009).</w:t>
      </w: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Default="00DB2074" w:rsidP="005E002E">
      <w:pPr>
        <w:spacing w:before="120" w:after="0" w:line="240" w:lineRule="auto"/>
        <w:jc w:val="left"/>
      </w:pPr>
    </w:p>
    <w:p w:rsidR="00DB2074" w:rsidRPr="008D65D9" w:rsidRDefault="00DB2074" w:rsidP="005E002E">
      <w:pPr>
        <w:spacing w:before="120" w:after="0" w:line="240" w:lineRule="auto"/>
        <w:jc w:val="left"/>
      </w:pPr>
    </w:p>
    <w:p w:rsidR="005E002E" w:rsidRPr="008D2996" w:rsidRDefault="005E002E" w:rsidP="005E002E">
      <w:pPr>
        <w:spacing w:before="120" w:after="0" w:line="240" w:lineRule="auto"/>
        <w:jc w:val="left"/>
      </w:pPr>
    </w:p>
    <w:p w:rsidR="005E002E" w:rsidRPr="00DA6972" w:rsidRDefault="005E002E" w:rsidP="005E002E">
      <w:pPr>
        <w:spacing w:before="120" w:after="0" w:line="240" w:lineRule="auto"/>
        <w:jc w:val="center"/>
        <w:rPr>
          <w:rStyle w:val="Titredulivre"/>
          <w:sz w:val="24"/>
          <w:szCs w:val="28"/>
          <w:u w:val="double"/>
        </w:rPr>
      </w:pPr>
      <w:r>
        <w:rPr>
          <w:rStyle w:val="Titredulivre"/>
          <w:sz w:val="24"/>
          <w:szCs w:val="28"/>
          <w:u w:val="double"/>
        </w:rPr>
        <w:t>Sinistres et Taux de règlement</w:t>
      </w:r>
    </w:p>
    <w:p w:rsidR="003E5999" w:rsidRPr="008D2996" w:rsidRDefault="003A6049" w:rsidP="00EB1EBD">
      <w:pPr>
        <w:pStyle w:val="Corpsdetexte2"/>
        <w:rPr>
          <w:rFonts w:ascii="Trebuchet MS" w:hAnsi="Trebuchet MS" w:cs="Trebuchet MS"/>
        </w:rPr>
      </w:pPr>
      <w:r>
        <w:rPr>
          <w:noProof/>
        </w:rPr>
        <w:drawing>
          <wp:inline distT="0" distB="0" distL="0" distR="0">
            <wp:extent cx="5542654" cy="1075764"/>
            <wp:effectExtent l="19050" t="0" r="896"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562600" cy="1079635"/>
                    </a:xfrm>
                    <a:prstGeom prst="rect">
                      <a:avLst/>
                    </a:prstGeom>
                    <a:noFill/>
                    <a:ln w="9525">
                      <a:noFill/>
                      <a:miter lim="800000"/>
                      <a:headEnd/>
                      <a:tailEnd/>
                    </a:ln>
                  </pic:spPr>
                </pic:pic>
              </a:graphicData>
            </a:graphic>
          </wp:inline>
        </w:drawing>
      </w:r>
    </w:p>
    <w:p w:rsidR="00DE7B6E" w:rsidRDefault="00EB1EBD" w:rsidP="00EB1EBD">
      <w:pPr>
        <w:pStyle w:val="Corpsdetexte2"/>
        <w:rPr>
          <w:rFonts w:ascii="Trebuchet MS" w:hAnsi="Trebuchet MS" w:cs="Trebuchet MS"/>
          <w:sz w:val="22"/>
          <w:szCs w:val="22"/>
        </w:rPr>
      </w:pPr>
      <w:r w:rsidRPr="00E74A46">
        <w:rPr>
          <w:rFonts w:ascii="Trebuchet MS" w:hAnsi="Trebuchet MS" w:cs="Trebuchet MS"/>
          <w:sz w:val="22"/>
          <w:szCs w:val="22"/>
        </w:rPr>
        <w:t xml:space="preserve">Le réseau des intermédiaires privés </w:t>
      </w:r>
      <w:r>
        <w:rPr>
          <w:rFonts w:ascii="Trebuchet MS" w:hAnsi="Trebuchet MS" w:cs="Trebuchet MS"/>
          <w:sz w:val="22"/>
          <w:szCs w:val="22"/>
        </w:rPr>
        <w:t>connaît</w:t>
      </w:r>
      <w:r w:rsidRPr="00E74A46">
        <w:rPr>
          <w:rFonts w:ascii="Trebuchet MS" w:hAnsi="Trebuchet MS" w:cs="Trebuchet MS"/>
          <w:sz w:val="22"/>
          <w:szCs w:val="22"/>
        </w:rPr>
        <w:t xml:space="preserve"> une augmentation du nombre de bureau de souscription en 2010 (+</w:t>
      </w:r>
      <w:r w:rsidR="000E557D">
        <w:rPr>
          <w:rFonts w:ascii="Trebuchet MS" w:hAnsi="Trebuchet MS" w:cs="Trebuchet MS"/>
          <w:sz w:val="22"/>
          <w:szCs w:val="22"/>
        </w:rPr>
        <w:t>22</w:t>
      </w:r>
      <w:r w:rsidR="007A0EFE">
        <w:rPr>
          <w:rFonts w:ascii="Trebuchet MS" w:hAnsi="Trebuchet MS" w:cs="Trebuchet MS"/>
          <w:sz w:val="22"/>
          <w:szCs w:val="22"/>
        </w:rPr>
        <w:t>,0</w:t>
      </w:r>
      <w:r w:rsidRPr="00E74A46">
        <w:rPr>
          <w:rFonts w:ascii="Trebuchet MS" w:hAnsi="Trebuchet MS" w:cs="Trebuchet MS"/>
          <w:sz w:val="22"/>
          <w:szCs w:val="22"/>
        </w:rPr>
        <w:t>%) comparativement à l’année 2009 contre une baisse de la prod</w:t>
      </w:r>
      <w:r>
        <w:rPr>
          <w:rFonts w:ascii="Trebuchet MS" w:hAnsi="Trebuchet MS" w:cs="Trebuchet MS"/>
          <w:sz w:val="22"/>
          <w:szCs w:val="22"/>
        </w:rPr>
        <w:t>uction pour la même période qui pass</w:t>
      </w:r>
      <w:r w:rsidRPr="00E74A46">
        <w:rPr>
          <w:rFonts w:ascii="Trebuchet MS" w:hAnsi="Trebuchet MS" w:cs="Trebuchet MS"/>
          <w:sz w:val="22"/>
          <w:szCs w:val="22"/>
        </w:rPr>
        <w:t xml:space="preserve">e de 22 </w:t>
      </w:r>
      <w:r w:rsidR="009135A6">
        <w:rPr>
          <w:rFonts w:ascii="Trebuchet MS" w:hAnsi="Trebuchet MS" w:cs="Trebuchet MS"/>
          <w:sz w:val="22"/>
          <w:szCs w:val="22"/>
        </w:rPr>
        <w:t>milliard</w:t>
      </w:r>
      <w:r w:rsidRPr="00E74A46">
        <w:rPr>
          <w:rFonts w:ascii="Trebuchet MS" w:hAnsi="Trebuchet MS" w:cs="Trebuchet MS"/>
          <w:sz w:val="22"/>
          <w:szCs w:val="22"/>
        </w:rPr>
        <w:t xml:space="preserve"> de DA en 2009 à 21,</w:t>
      </w:r>
      <w:r w:rsidR="006974C3">
        <w:rPr>
          <w:rFonts w:ascii="Trebuchet MS" w:hAnsi="Trebuchet MS" w:cs="Trebuchet MS"/>
          <w:sz w:val="22"/>
          <w:szCs w:val="22"/>
        </w:rPr>
        <w:t>8</w:t>
      </w:r>
      <w:r w:rsidRPr="00E74A46">
        <w:rPr>
          <w:rFonts w:ascii="Trebuchet MS" w:hAnsi="Trebuchet MS" w:cs="Trebuchet MS"/>
          <w:sz w:val="22"/>
          <w:szCs w:val="22"/>
        </w:rPr>
        <w:t xml:space="preserve"> </w:t>
      </w:r>
      <w:r w:rsidR="009135A6">
        <w:rPr>
          <w:rFonts w:ascii="Trebuchet MS" w:hAnsi="Trebuchet MS" w:cs="Trebuchet MS"/>
          <w:sz w:val="22"/>
          <w:szCs w:val="22"/>
        </w:rPr>
        <w:t>milliard</w:t>
      </w:r>
      <w:r w:rsidRPr="00E74A46">
        <w:rPr>
          <w:rFonts w:ascii="Trebuchet MS" w:hAnsi="Trebuchet MS" w:cs="Trebuchet MS"/>
          <w:sz w:val="22"/>
          <w:szCs w:val="22"/>
        </w:rPr>
        <w:t xml:space="preserve"> de dinars en 2010 soit une régression qui s’établit à </w:t>
      </w:r>
      <w:r w:rsidR="006974C3">
        <w:rPr>
          <w:rFonts w:ascii="Trebuchet MS" w:hAnsi="Trebuchet MS" w:cs="Trebuchet MS"/>
          <w:sz w:val="22"/>
          <w:szCs w:val="22"/>
        </w:rPr>
        <w:t>1</w:t>
      </w:r>
      <w:r w:rsidR="007A0EFE">
        <w:rPr>
          <w:rFonts w:ascii="Trebuchet MS" w:hAnsi="Trebuchet MS" w:cs="Trebuchet MS"/>
          <w:sz w:val="22"/>
          <w:szCs w:val="22"/>
        </w:rPr>
        <w:t>,3</w:t>
      </w:r>
      <w:r w:rsidRPr="00E74A46">
        <w:rPr>
          <w:rFonts w:ascii="Trebuchet MS" w:hAnsi="Trebuchet MS" w:cs="Trebuchet MS"/>
          <w:sz w:val="22"/>
          <w:szCs w:val="22"/>
        </w:rPr>
        <w:t xml:space="preserve">%. Le poids de la production des intermédiaires </w:t>
      </w:r>
      <w:r>
        <w:rPr>
          <w:rFonts w:ascii="Trebuchet MS" w:hAnsi="Trebuchet MS" w:cs="Trebuchet MS"/>
          <w:sz w:val="22"/>
          <w:szCs w:val="22"/>
        </w:rPr>
        <w:t>connaît</w:t>
      </w:r>
      <w:r w:rsidRPr="00E74A46">
        <w:rPr>
          <w:rFonts w:ascii="Trebuchet MS" w:hAnsi="Trebuchet MS" w:cs="Trebuchet MS"/>
          <w:sz w:val="22"/>
          <w:szCs w:val="22"/>
        </w:rPr>
        <w:t xml:space="preserve"> une </w:t>
      </w:r>
      <w:r w:rsidR="00476D4B">
        <w:rPr>
          <w:rFonts w:ascii="Trebuchet MS" w:hAnsi="Trebuchet MS" w:cs="Trebuchet MS"/>
          <w:sz w:val="22"/>
          <w:szCs w:val="22"/>
        </w:rPr>
        <w:t>régression</w:t>
      </w:r>
      <w:r w:rsidR="00476D4B" w:rsidRPr="00E74A46">
        <w:rPr>
          <w:rFonts w:ascii="Trebuchet MS" w:hAnsi="Trebuchet MS" w:cs="Trebuchet MS"/>
          <w:sz w:val="22"/>
          <w:szCs w:val="22"/>
        </w:rPr>
        <w:t xml:space="preserve"> </w:t>
      </w:r>
      <w:r w:rsidRPr="00E74A46">
        <w:rPr>
          <w:rFonts w:ascii="Trebuchet MS" w:hAnsi="Trebuchet MS" w:cs="Trebuchet MS"/>
          <w:sz w:val="22"/>
          <w:szCs w:val="22"/>
        </w:rPr>
        <w:t xml:space="preserve">en 2010, soit </w:t>
      </w:r>
      <w:r w:rsidR="000E557D" w:rsidRPr="00E74A46">
        <w:rPr>
          <w:rFonts w:ascii="Trebuchet MS" w:hAnsi="Trebuchet MS" w:cs="Trebuchet MS"/>
          <w:sz w:val="22"/>
          <w:szCs w:val="22"/>
        </w:rPr>
        <w:t>2</w:t>
      </w:r>
      <w:r w:rsidR="007A0EFE">
        <w:rPr>
          <w:rFonts w:ascii="Trebuchet MS" w:hAnsi="Trebuchet MS" w:cs="Trebuchet MS"/>
          <w:sz w:val="22"/>
          <w:szCs w:val="22"/>
        </w:rPr>
        <w:t>7</w:t>
      </w:r>
      <w:r w:rsidR="000E557D">
        <w:rPr>
          <w:rFonts w:ascii="Trebuchet MS" w:hAnsi="Trebuchet MS" w:cs="Trebuchet MS"/>
          <w:sz w:val="22"/>
          <w:szCs w:val="22"/>
        </w:rPr>
        <w:t>,</w:t>
      </w:r>
      <w:r w:rsidR="007A0EFE">
        <w:rPr>
          <w:rFonts w:ascii="Trebuchet MS" w:hAnsi="Trebuchet MS" w:cs="Trebuchet MS"/>
          <w:sz w:val="22"/>
          <w:szCs w:val="22"/>
        </w:rPr>
        <w:t>0</w:t>
      </w:r>
      <w:r w:rsidRPr="00E74A46">
        <w:rPr>
          <w:rFonts w:ascii="Trebuchet MS" w:hAnsi="Trebuchet MS" w:cs="Trebuchet MS"/>
          <w:sz w:val="22"/>
          <w:szCs w:val="22"/>
        </w:rPr>
        <w:t xml:space="preserve">% du total du chiffre d’affaires de l’ensemble des </w:t>
      </w:r>
      <w:r w:rsidR="00DB3E8E">
        <w:rPr>
          <w:rFonts w:ascii="Trebuchet MS" w:hAnsi="Trebuchet MS" w:cs="Trebuchet MS"/>
          <w:sz w:val="22"/>
          <w:szCs w:val="22"/>
        </w:rPr>
        <w:t>sociétés</w:t>
      </w:r>
      <w:r w:rsidRPr="00E74A46">
        <w:rPr>
          <w:rFonts w:ascii="Trebuchet MS" w:hAnsi="Trebuchet MS" w:cs="Trebuchet MS"/>
          <w:sz w:val="22"/>
          <w:szCs w:val="22"/>
        </w:rPr>
        <w:t xml:space="preserve"> d’assurance contre 2</w:t>
      </w:r>
      <w:r w:rsidR="00476D4B">
        <w:rPr>
          <w:rFonts w:ascii="Trebuchet MS" w:hAnsi="Trebuchet MS" w:cs="Trebuchet MS"/>
          <w:sz w:val="22"/>
          <w:szCs w:val="22"/>
        </w:rPr>
        <w:t>8,5</w:t>
      </w:r>
      <w:r w:rsidRPr="00E74A46">
        <w:rPr>
          <w:rFonts w:ascii="Trebuchet MS" w:hAnsi="Trebuchet MS" w:cs="Trebuchet MS"/>
          <w:sz w:val="22"/>
          <w:szCs w:val="22"/>
        </w:rPr>
        <w:t>% en 2009.</w:t>
      </w:r>
    </w:p>
    <w:p w:rsidR="00EB1EBD" w:rsidRPr="00DE7B6E" w:rsidRDefault="00EB1EBD" w:rsidP="00EB1EBD">
      <w:pPr>
        <w:pStyle w:val="Corpsdetexte2"/>
        <w:rPr>
          <w:rFonts w:ascii="Trebuchet MS" w:hAnsi="Trebuchet MS" w:cs="Trebuchet MS"/>
          <w:sz w:val="22"/>
          <w:szCs w:val="22"/>
        </w:rPr>
      </w:pPr>
      <w:r w:rsidRPr="00DE7B6E">
        <w:rPr>
          <w:rFonts w:ascii="Trebuchet MS" w:hAnsi="Trebuchet MS" w:cs="Trebuchet MS"/>
          <w:sz w:val="22"/>
          <w:szCs w:val="22"/>
        </w:rPr>
        <w:t>Le taux de rendement moyen généré par les placements financiers atteint, en 2010, 3% contre 3,5% en 2009. La contribution du secteur des assurances à l'investissement national connaît une augmentation en 2010. Le taux passe à 2,7% en 2010 contre 2,3% en 2009. Il importe de rappeler toute la modestie de cette contribution comparativement à celle offerte par le secteur des assurances dans d’autres pays où les placements des assureurs représentent des engagements à long terme dans les branches vie et capitalisation.</w:t>
      </w:r>
    </w:p>
    <w:p w:rsidR="00EB1EBD" w:rsidRDefault="00EB1EBD"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DE7B6E" w:rsidRDefault="00DE7B6E" w:rsidP="00EB1EBD">
      <w:pPr>
        <w:jc w:val="center"/>
        <w:rPr>
          <w:highlight w:val="yellow"/>
        </w:rPr>
      </w:pPr>
    </w:p>
    <w:p w:rsidR="00EB1EBD" w:rsidRPr="00ED2E71" w:rsidRDefault="005D6003" w:rsidP="000D5F82">
      <w:pPr>
        <w:pStyle w:val="Titre1"/>
        <w:jc w:val="center"/>
        <w:rPr>
          <w:noProof/>
          <w:sz w:val="48"/>
        </w:rPr>
      </w:pPr>
      <w:bookmarkStart w:id="34" w:name="OLE_LINK6"/>
      <w:bookmarkStart w:id="35" w:name="OLE_LINK8"/>
      <w:bookmarkStart w:id="36" w:name="_Toc327916503"/>
      <w:r>
        <w:rPr>
          <w:b w:val="0"/>
          <w:bCs w:val="0"/>
          <w:caps w:val="0"/>
          <w:sz w:val="48"/>
        </w:rPr>
        <w:lastRenderedPageBreak/>
        <w:t>2</w:t>
      </w:r>
      <w:r w:rsidR="00E45768" w:rsidRPr="00E45768">
        <w:rPr>
          <w:sz w:val="48"/>
        </w:rPr>
        <w:t>°</w:t>
      </w:r>
      <w:bookmarkEnd w:id="34"/>
      <w:bookmarkEnd w:id="35"/>
      <w:r w:rsidR="00E45768" w:rsidRPr="00E45768">
        <w:rPr>
          <w:sz w:val="48"/>
        </w:rPr>
        <w:t xml:space="preserve"> </w:t>
      </w:r>
      <w:r w:rsidR="00E45768" w:rsidRPr="00E45768">
        <w:rPr>
          <w:noProof/>
          <w:sz w:val="48"/>
        </w:rPr>
        <w:t>Chapitre : CONTEXTE 2010</w:t>
      </w:r>
      <w:bookmarkEnd w:id="36"/>
    </w:p>
    <w:p w:rsidR="00EB1EBD" w:rsidRPr="008D2996" w:rsidRDefault="00EB1EBD" w:rsidP="009521FF">
      <w:pPr>
        <w:pStyle w:val="TM2"/>
        <w:rPr>
          <w:highlight w:val="yellow"/>
        </w:rPr>
      </w:pPr>
    </w:p>
    <w:p w:rsidR="00EB1EBD" w:rsidRPr="008D2996" w:rsidRDefault="00EB1EBD" w:rsidP="009521FF">
      <w:pPr>
        <w:pStyle w:val="TM2"/>
        <w:rPr>
          <w:highlight w:val="yellow"/>
        </w:rPr>
        <w:sectPr w:rsidR="00EB1EBD" w:rsidRPr="008D2996" w:rsidSect="00FC1BD1">
          <w:headerReference w:type="default" r:id="rId11"/>
          <w:footerReference w:type="default" r:id="rId12"/>
          <w:footnotePr>
            <w:numRestart w:val="eachPage"/>
          </w:footnotePr>
          <w:type w:val="nextColumn"/>
          <w:pgSz w:w="11906" w:h="16838" w:code="9"/>
          <w:pgMar w:top="1871" w:right="1134" w:bottom="1304" w:left="1134" w:header="709" w:footer="709" w:gutter="0"/>
          <w:cols w:space="708"/>
          <w:vAlign w:val="center"/>
          <w:docGrid w:linePitch="360"/>
        </w:sectPr>
      </w:pPr>
    </w:p>
    <w:p w:rsidR="00EB1EBD" w:rsidRDefault="00EB1EBD" w:rsidP="000C06BD">
      <w:pPr>
        <w:pStyle w:val="Titre1"/>
        <w:spacing w:before="360" w:after="60"/>
        <w:rPr>
          <w:color w:val="000000"/>
        </w:rPr>
      </w:pPr>
      <w:bookmarkStart w:id="37" w:name="_Toc326155962"/>
      <w:bookmarkStart w:id="38" w:name="_Toc327883402"/>
      <w:bookmarkStart w:id="39" w:name="_Toc327916504"/>
      <w:r w:rsidRPr="00287A7E">
        <w:rPr>
          <w:color w:val="000000"/>
        </w:rPr>
        <w:lastRenderedPageBreak/>
        <w:t>Environnement economique et financier</w:t>
      </w:r>
      <w:bookmarkEnd w:id="37"/>
      <w:bookmarkEnd w:id="38"/>
      <w:bookmarkEnd w:id="39"/>
    </w:p>
    <w:p w:rsidR="00EB1EBD" w:rsidRPr="00C6672B" w:rsidRDefault="00EB1EBD" w:rsidP="00EB1EBD">
      <w:pPr>
        <w:spacing w:before="120"/>
      </w:pPr>
      <w:r w:rsidRPr="00C6672B">
        <w:t>La conjoncture économique internationale,  marquée par une croissance positive substantielle en 2010, confirme la reprise entamée au cours de la seconde période de l’année précédente.</w:t>
      </w:r>
    </w:p>
    <w:p w:rsidR="00EB1EBD" w:rsidRPr="00C6672B" w:rsidRDefault="00EB1EBD" w:rsidP="00EB1EBD">
      <w:pPr>
        <w:spacing w:before="120"/>
      </w:pPr>
      <w:r w:rsidRPr="00C6672B">
        <w:t>Cette croissance est conséquente des effets des politiques macroéconomiques agressives mises en place par de nombreux pays pour faire face aux effets de la crise économique et financière d’après 2008. Ces politiques consistent essentiellement en des mesures budgétaires exceptionnellement fortes en soutien aux entreprises, au secteur financier et à l’expansion des investissements publics.</w:t>
      </w:r>
    </w:p>
    <w:p w:rsidR="00EB1EBD" w:rsidRPr="00C6672B" w:rsidRDefault="00EB1EBD" w:rsidP="00EB1EBD">
      <w:pPr>
        <w:spacing w:before="120"/>
      </w:pPr>
      <w:r w:rsidRPr="00C6672B">
        <w:t>Grâce à ces mesures, la croissance économique mondiale, mesurée par le PIB, a enregistré une forte hausse. Le taux de croissance du PIB mondial passe de (-0,5%) en 2009 à 5,1% à fin 2010.Cette croissance est tirée principalement par la forte performance des pays émergents et en développement (BRICS) avec un taux de 7,4% contre 3% pour les pays avancés.</w:t>
      </w:r>
    </w:p>
    <w:p w:rsidR="00EB1EBD" w:rsidRDefault="00EB1EBD" w:rsidP="00EB1EBD">
      <w:pPr>
        <w:autoSpaceDE w:val="0"/>
        <w:autoSpaceDN w:val="0"/>
        <w:adjustRightInd w:val="0"/>
        <w:spacing w:after="0" w:line="240" w:lineRule="auto"/>
      </w:pPr>
      <w:r w:rsidRPr="00C6672B">
        <w:t>De par la relation qui lie l’activité économique au secteur des assurances, ce dernier enregistre une hausse de 2,7%</w:t>
      </w:r>
      <w:r w:rsidRPr="00C6672B">
        <w:rPr>
          <w:rStyle w:val="Appelnotedebasdep"/>
          <w:sz w:val="22"/>
          <w:szCs w:val="22"/>
        </w:rPr>
        <w:footnoteReference w:id="5"/>
      </w:r>
      <w:r w:rsidRPr="00C6672B">
        <w:t xml:space="preserve"> de son chiffre d’affaires en termes réels (corrigés d'inflation), soit 4 339 </w:t>
      </w:r>
      <w:r w:rsidR="009135A6">
        <w:t>milliard</w:t>
      </w:r>
      <w:r w:rsidRPr="00C6672B">
        <w:t xml:space="preserve"> de dollars contre 4 110 </w:t>
      </w:r>
      <w:r w:rsidR="009135A6">
        <w:t>milliard</w:t>
      </w:r>
      <w:r w:rsidRPr="00C6672B">
        <w:t xml:space="preserve"> en 2009.</w:t>
      </w:r>
    </w:p>
    <w:p w:rsidR="008D65D9" w:rsidRPr="00C6672B" w:rsidRDefault="008D65D9" w:rsidP="00EB1EBD">
      <w:pPr>
        <w:autoSpaceDE w:val="0"/>
        <w:autoSpaceDN w:val="0"/>
        <w:adjustRightInd w:val="0"/>
        <w:spacing w:after="0" w:line="240" w:lineRule="auto"/>
      </w:pPr>
    </w:p>
    <w:p w:rsidR="00EB1EBD" w:rsidRPr="008D65D9" w:rsidRDefault="00EB1EBD" w:rsidP="008D65D9">
      <w:pPr>
        <w:pStyle w:val="Titre2"/>
      </w:pPr>
      <w:bookmarkStart w:id="40" w:name="_Toc326155963"/>
      <w:bookmarkStart w:id="41" w:name="_Toc327883403"/>
      <w:bookmarkStart w:id="42" w:name="_Toc327883583"/>
      <w:bookmarkStart w:id="43" w:name="_Toc327883926"/>
      <w:bookmarkStart w:id="44" w:name="_Toc327884987"/>
      <w:r w:rsidRPr="008D65D9">
        <w:t>La croissance économique, emploi et inflation</w:t>
      </w:r>
      <w:bookmarkEnd w:id="40"/>
      <w:bookmarkEnd w:id="41"/>
      <w:bookmarkEnd w:id="42"/>
      <w:bookmarkEnd w:id="43"/>
      <w:bookmarkEnd w:id="44"/>
    </w:p>
    <w:p w:rsidR="00EB1EBD" w:rsidRPr="00C6672B" w:rsidRDefault="00EB1EBD" w:rsidP="00EB1EBD">
      <w:r w:rsidRPr="00C6672B">
        <w:t xml:space="preserve">En Algérie, la relative contraction de la demande mondiale d’hydrocarbures a eu  pour effet un net recul de l’activité de ce secteur (-2%), baisse compensée par l’effet prix. Cependant, l’ensemble des secteurs institutionnels enregistre une hausse significative de plus de 6%. Le produit intérieur brut (PIB) maintient  son évolution en volume avec un taux de croissance de 3,3%. </w:t>
      </w:r>
    </w:p>
    <w:p w:rsidR="00EB1EBD" w:rsidRPr="00C6672B" w:rsidRDefault="00EB1EBD" w:rsidP="00EB1EBD">
      <w:r w:rsidRPr="00C6672B">
        <w:t>La politique de résorption du chômage se confirme par la baisse de son taux de 10,2% à 10,0% à fin 2010, soit un recul de 0,2 point. De même,  l’inflation annuelle moyenne, mesurée par l’indice des prix à la consommation, passe de  5,74% en 2009 à 3,91% en 2010.</w:t>
      </w:r>
    </w:p>
    <w:p w:rsidR="00EB1EBD" w:rsidRPr="008D65D9" w:rsidRDefault="00EB1EBD" w:rsidP="008D65D9">
      <w:pPr>
        <w:pStyle w:val="Titre2"/>
      </w:pPr>
      <w:bookmarkStart w:id="45" w:name="_Toc326155964"/>
      <w:bookmarkStart w:id="46" w:name="_Toc327883404"/>
      <w:bookmarkStart w:id="47" w:name="_Toc327883584"/>
      <w:bookmarkStart w:id="48" w:name="_Toc327883927"/>
      <w:bookmarkStart w:id="49" w:name="_Toc327884988"/>
      <w:r w:rsidRPr="008D65D9">
        <w:t>Le secteur Agricole</w:t>
      </w:r>
      <w:bookmarkEnd w:id="45"/>
      <w:bookmarkEnd w:id="46"/>
      <w:bookmarkEnd w:id="47"/>
      <w:bookmarkEnd w:id="48"/>
      <w:bookmarkEnd w:id="49"/>
      <w:r w:rsidRPr="008D65D9">
        <w:t> </w:t>
      </w:r>
    </w:p>
    <w:p w:rsidR="00EB1EBD" w:rsidRPr="00C6672B" w:rsidRDefault="00EB1EBD" w:rsidP="00EB1EBD">
      <w:r w:rsidRPr="00C6672B">
        <w:t xml:space="preserve">La valeur ajoutée du secteur agricole enregistrée au cours de l’année 2010 est de 6%, stimulée par des prix planchers garantis pour les céréales, une pluviosité favorable et  une offre croissante dans un contexte de forte hausse de la demande du marché domestique. </w:t>
      </w:r>
    </w:p>
    <w:p w:rsidR="00EB1EBD" w:rsidRPr="00C6672B" w:rsidRDefault="00EB1EBD" w:rsidP="00EB1EBD">
      <w:r w:rsidRPr="00C6672B">
        <w:t xml:space="preserve">Exceptées les contractions de la production céréalière de 24,6% et oléicole de 35,5% par rapport à 2009, les autres spéculations enregistrent  de bonnes performances, avec des taux de croissance souvent à deux chiffres. </w:t>
      </w:r>
    </w:p>
    <w:p w:rsidR="00EB1EBD" w:rsidRPr="00C6672B" w:rsidRDefault="00EB1EBD" w:rsidP="00EB1EBD">
      <w:pPr>
        <w:rPr>
          <w:b/>
          <w:bCs/>
          <w:i/>
          <w:iCs/>
          <w:color w:val="000000"/>
        </w:rPr>
      </w:pPr>
      <w:r w:rsidRPr="00C6672B">
        <w:t>La croissance de la production agricole explique la hausse de la valeur ajoutée du secteur</w:t>
      </w:r>
      <w:r w:rsidRPr="00C6672B">
        <w:rPr>
          <w:rStyle w:val="Appelnotedebasdep"/>
          <w:sz w:val="22"/>
          <w:szCs w:val="22"/>
        </w:rPr>
        <w:footnoteReference w:id="6"/>
      </w:r>
      <w:r w:rsidRPr="00C6672B">
        <w:t xml:space="preserve">. </w:t>
      </w:r>
      <w:r w:rsidRPr="00C6672B">
        <w:rPr>
          <w:b/>
          <w:bCs/>
          <w:i/>
          <w:iCs/>
          <w:color w:val="000000"/>
        </w:rPr>
        <w:t>(-).</w:t>
      </w:r>
    </w:p>
    <w:p w:rsidR="00EB1EBD" w:rsidRDefault="00EB1EBD" w:rsidP="00EB1EBD">
      <w:pPr>
        <w:rPr>
          <w:sz w:val="24"/>
          <w:szCs w:val="24"/>
        </w:rPr>
      </w:pPr>
    </w:p>
    <w:p w:rsidR="00E77BD7" w:rsidRDefault="00E77BD7" w:rsidP="00EB1EBD">
      <w:pPr>
        <w:rPr>
          <w:sz w:val="24"/>
          <w:szCs w:val="24"/>
        </w:rPr>
      </w:pPr>
    </w:p>
    <w:p w:rsidR="00E77BD7" w:rsidRDefault="00E77BD7" w:rsidP="00EB1EBD">
      <w:pPr>
        <w:rPr>
          <w:sz w:val="24"/>
          <w:szCs w:val="24"/>
        </w:rPr>
      </w:pPr>
    </w:p>
    <w:p w:rsidR="00E77BD7" w:rsidRDefault="00E77BD7" w:rsidP="00EB1EBD">
      <w:pPr>
        <w:rPr>
          <w:sz w:val="24"/>
          <w:szCs w:val="24"/>
        </w:rPr>
      </w:pPr>
    </w:p>
    <w:p w:rsidR="00EB1EBD" w:rsidRPr="008D65D9" w:rsidRDefault="00EB1EBD" w:rsidP="008D65D9">
      <w:pPr>
        <w:pStyle w:val="Titre2"/>
      </w:pPr>
      <w:bookmarkStart w:id="50" w:name="_Toc326155965"/>
      <w:bookmarkStart w:id="51" w:name="_Toc327883405"/>
      <w:bookmarkStart w:id="52" w:name="_Toc327883585"/>
      <w:bookmarkStart w:id="53" w:name="_Toc327883928"/>
      <w:bookmarkStart w:id="54" w:name="_Toc327884989"/>
      <w:r w:rsidRPr="008D65D9">
        <w:t>Le secteur du bâtiment et des travaux publics</w:t>
      </w:r>
      <w:bookmarkEnd w:id="50"/>
      <w:bookmarkEnd w:id="51"/>
      <w:bookmarkEnd w:id="52"/>
      <w:bookmarkEnd w:id="53"/>
      <w:bookmarkEnd w:id="54"/>
      <w:r w:rsidRPr="008D65D9">
        <w:t> </w:t>
      </w:r>
    </w:p>
    <w:p w:rsidR="00EB1EBD" w:rsidRPr="00C6672B" w:rsidRDefault="00EB1EBD" w:rsidP="000C06BD">
      <w:pPr>
        <w:pStyle w:val="Titre2"/>
        <w:rPr>
          <w:caps w:val="0"/>
          <w:sz w:val="22"/>
          <w:szCs w:val="22"/>
        </w:rPr>
      </w:pPr>
      <w:bookmarkStart w:id="55" w:name="_Toc326155966"/>
      <w:bookmarkStart w:id="56" w:name="_Toc327883406"/>
      <w:bookmarkStart w:id="57" w:name="_Toc327883586"/>
      <w:bookmarkStart w:id="58" w:name="_Toc327883929"/>
      <w:bookmarkStart w:id="59" w:name="_Toc327884990"/>
      <w:bookmarkStart w:id="60" w:name="_Toc327885578"/>
      <w:bookmarkStart w:id="61" w:name="_Toc327916505"/>
      <w:r w:rsidRPr="00C6672B">
        <w:rPr>
          <w:caps w:val="0"/>
          <w:sz w:val="22"/>
          <w:szCs w:val="22"/>
        </w:rPr>
        <w:t>Malgré le fléchissement de la croissance pour la seconde année consécutive de 2,1 points, la valeur ajoutée du secteur du bâtiment et des travaux publics est de 6,6% qui surpasse l’expansion moyenne hors hydrocarbures (6,0%).</w:t>
      </w:r>
      <w:bookmarkEnd w:id="55"/>
      <w:bookmarkEnd w:id="56"/>
      <w:bookmarkEnd w:id="57"/>
      <w:bookmarkEnd w:id="58"/>
      <w:bookmarkEnd w:id="59"/>
      <w:bookmarkEnd w:id="60"/>
      <w:bookmarkEnd w:id="61"/>
      <w:r w:rsidRPr="00C6672B">
        <w:rPr>
          <w:caps w:val="0"/>
          <w:sz w:val="22"/>
          <w:szCs w:val="22"/>
        </w:rPr>
        <w:t xml:space="preserve"> </w:t>
      </w:r>
    </w:p>
    <w:p w:rsidR="00EB1EBD" w:rsidRPr="00C6672B" w:rsidRDefault="00EB1EBD" w:rsidP="00EB1EBD">
      <w:pPr>
        <w:pStyle w:val="Titre2"/>
        <w:rPr>
          <w:caps w:val="0"/>
          <w:sz w:val="22"/>
          <w:szCs w:val="22"/>
        </w:rPr>
      </w:pPr>
      <w:bookmarkStart w:id="62" w:name="_Toc326155967"/>
      <w:bookmarkStart w:id="63" w:name="_Toc327883407"/>
      <w:bookmarkStart w:id="64" w:name="_Toc327883587"/>
      <w:bookmarkStart w:id="65" w:name="_Toc327883930"/>
      <w:bookmarkStart w:id="66" w:name="_Toc327884991"/>
      <w:bookmarkStart w:id="67" w:name="_Toc327885579"/>
      <w:bookmarkStart w:id="68" w:name="_Toc327916506"/>
      <w:r w:rsidRPr="00C6672B">
        <w:rPr>
          <w:caps w:val="0"/>
          <w:sz w:val="22"/>
          <w:szCs w:val="22"/>
        </w:rPr>
        <w:t>L’achèvement de grands chantiers d’infrastructures et de logements explique la décélération de la croissance du secteur, très dépendante des investissements publics.</w:t>
      </w:r>
      <w:bookmarkEnd w:id="62"/>
      <w:bookmarkEnd w:id="63"/>
      <w:bookmarkEnd w:id="64"/>
      <w:bookmarkEnd w:id="65"/>
      <w:bookmarkEnd w:id="66"/>
      <w:bookmarkEnd w:id="67"/>
      <w:bookmarkEnd w:id="68"/>
      <w:r w:rsidRPr="00C6672B">
        <w:rPr>
          <w:caps w:val="0"/>
          <w:sz w:val="22"/>
          <w:szCs w:val="22"/>
        </w:rPr>
        <w:t xml:space="preserve"> </w:t>
      </w:r>
    </w:p>
    <w:p w:rsidR="00EB1EBD" w:rsidRPr="00C6672B" w:rsidRDefault="00EB1EBD" w:rsidP="00EB1EBD">
      <w:pPr>
        <w:pStyle w:val="Titre2"/>
        <w:rPr>
          <w:sz w:val="22"/>
          <w:szCs w:val="22"/>
        </w:rPr>
      </w:pPr>
      <w:bookmarkStart w:id="69" w:name="_Toc326155968"/>
      <w:bookmarkStart w:id="70" w:name="_Toc327883408"/>
      <w:bookmarkStart w:id="71" w:name="_Toc327883588"/>
      <w:bookmarkStart w:id="72" w:name="_Toc327883931"/>
      <w:bookmarkStart w:id="73" w:name="_Toc327884992"/>
      <w:bookmarkStart w:id="74" w:name="_Toc327885580"/>
      <w:bookmarkStart w:id="75" w:name="_Toc327916507"/>
      <w:r w:rsidRPr="00C6672B">
        <w:rPr>
          <w:caps w:val="0"/>
          <w:sz w:val="22"/>
          <w:szCs w:val="22"/>
        </w:rPr>
        <w:t xml:space="preserve">Les dépenses d’équipements de l’Etat dans le secteur du bâtiment et des travaux publics s’élèvent à plus de 1 829 </w:t>
      </w:r>
      <w:r w:rsidR="009135A6">
        <w:rPr>
          <w:caps w:val="0"/>
          <w:sz w:val="22"/>
          <w:szCs w:val="22"/>
        </w:rPr>
        <w:t>milliard</w:t>
      </w:r>
      <w:r w:rsidRPr="00C6672B">
        <w:rPr>
          <w:caps w:val="0"/>
          <w:sz w:val="22"/>
          <w:szCs w:val="22"/>
        </w:rPr>
        <w:t xml:space="preserve"> de dinars</w:t>
      </w:r>
      <w:r w:rsidRPr="00C6672B">
        <w:rPr>
          <w:rStyle w:val="Appelnotedebasdep"/>
          <w:caps w:val="0"/>
          <w:sz w:val="22"/>
          <w:szCs w:val="22"/>
        </w:rPr>
        <w:footnoteReference w:id="7"/>
      </w:r>
      <w:r w:rsidRPr="00C6672B">
        <w:rPr>
          <w:caps w:val="0"/>
          <w:sz w:val="22"/>
          <w:szCs w:val="22"/>
        </w:rPr>
        <w:t>.</w:t>
      </w:r>
      <w:bookmarkEnd w:id="69"/>
      <w:bookmarkEnd w:id="70"/>
      <w:bookmarkEnd w:id="71"/>
      <w:bookmarkEnd w:id="72"/>
      <w:bookmarkEnd w:id="73"/>
      <w:bookmarkEnd w:id="74"/>
      <w:bookmarkEnd w:id="75"/>
      <w:r w:rsidRPr="00C6672B">
        <w:rPr>
          <w:caps w:val="0"/>
          <w:sz w:val="22"/>
          <w:szCs w:val="22"/>
        </w:rPr>
        <w:t xml:space="preserve"> </w:t>
      </w:r>
    </w:p>
    <w:p w:rsidR="00EB1EBD" w:rsidRPr="008D65D9" w:rsidRDefault="00EB1EBD" w:rsidP="008D65D9">
      <w:pPr>
        <w:pStyle w:val="Titre2"/>
      </w:pPr>
      <w:bookmarkStart w:id="76" w:name="_Toc326155969"/>
      <w:bookmarkStart w:id="77" w:name="_Toc327883409"/>
      <w:bookmarkStart w:id="78" w:name="_Toc327883589"/>
      <w:bookmarkStart w:id="79" w:name="_Toc327883932"/>
      <w:bookmarkStart w:id="80" w:name="_Toc327884993"/>
      <w:r w:rsidRPr="008D65D9">
        <w:t>Equipement</w:t>
      </w:r>
      <w:bookmarkEnd w:id="76"/>
      <w:bookmarkEnd w:id="77"/>
      <w:bookmarkEnd w:id="78"/>
      <w:bookmarkEnd w:id="79"/>
      <w:bookmarkEnd w:id="80"/>
      <w:r w:rsidRPr="008D65D9">
        <w:t> </w:t>
      </w:r>
    </w:p>
    <w:p w:rsidR="00EB1EBD" w:rsidRPr="00C6672B" w:rsidRDefault="00EB1EBD" w:rsidP="00EB1EBD">
      <w:r w:rsidRPr="00C6672B">
        <w:t xml:space="preserve">Les dépenses en équipement industriel en 2010 ont atteint 14,794 </w:t>
      </w:r>
      <w:r w:rsidR="009135A6">
        <w:t>milliard</w:t>
      </w:r>
      <w:r w:rsidRPr="00C6672B">
        <w:t xml:space="preserve"> de dollars contre 14,141, soit une évolution 4,2% par rapport à 2009. La  même tendance a été enregistrée par  les équipements agricoles qui passent de  219 en 2009  à 325 millions de dollars en 2010  soit une croissance 48,40%</w:t>
      </w:r>
      <w:r w:rsidRPr="00C6672B">
        <w:rPr>
          <w:rStyle w:val="Appelnotedebasdep"/>
          <w:sz w:val="22"/>
          <w:szCs w:val="22"/>
        </w:rPr>
        <w:footnoteReference w:id="8"/>
      </w:r>
      <w:r w:rsidRPr="00C6672B">
        <w:t>.</w:t>
      </w:r>
    </w:p>
    <w:p w:rsidR="00EB1EBD" w:rsidRPr="00247B04" w:rsidRDefault="00EB1EBD" w:rsidP="008D65D9">
      <w:pPr>
        <w:pStyle w:val="Titre1"/>
        <w:spacing w:after="60"/>
      </w:pPr>
      <w:bookmarkStart w:id="81" w:name="_Toc326155970"/>
      <w:bookmarkStart w:id="82" w:name="_Toc327883410"/>
      <w:bookmarkStart w:id="83" w:name="_Toc327916508"/>
      <w:r w:rsidRPr="00570408">
        <w:t>Patrimoine assurable</w:t>
      </w:r>
      <w:bookmarkEnd w:id="81"/>
      <w:bookmarkEnd w:id="82"/>
      <w:bookmarkEnd w:id="83"/>
    </w:p>
    <w:p w:rsidR="00EB1EBD" w:rsidRPr="008D65D9" w:rsidRDefault="00EB1EBD" w:rsidP="008D65D9">
      <w:pPr>
        <w:pStyle w:val="Titre2"/>
        <w:spacing w:before="60"/>
      </w:pPr>
      <w:bookmarkStart w:id="84" w:name="_Toc326155971"/>
      <w:bookmarkStart w:id="85" w:name="_Toc327883411"/>
      <w:bookmarkStart w:id="86" w:name="_Toc327883591"/>
      <w:bookmarkStart w:id="87" w:name="_Toc327883934"/>
      <w:bookmarkStart w:id="88" w:name="_Toc327884995"/>
      <w:r w:rsidRPr="008D65D9">
        <w:t>Les importations </w:t>
      </w:r>
      <w:bookmarkEnd w:id="84"/>
      <w:bookmarkEnd w:id="85"/>
      <w:bookmarkEnd w:id="86"/>
      <w:bookmarkEnd w:id="87"/>
      <w:bookmarkEnd w:id="88"/>
    </w:p>
    <w:p w:rsidR="00EB1EBD" w:rsidRPr="00C6672B" w:rsidRDefault="00EB1EBD" w:rsidP="00C6672B">
      <w:pPr>
        <w:autoSpaceDE w:val="0"/>
        <w:autoSpaceDN w:val="0"/>
        <w:adjustRightInd w:val="0"/>
      </w:pPr>
      <w:r w:rsidRPr="00C6672B">
        <w:t>Les importations</w:t>
      </w:r>
      <w:r w:rsidRPr="00C6672B">
        <w:rPr>
          <w:rStyle w:val="Appelnotedebasdep"/>
          <w:sz w:val="22"/>
          <w:szCs w:val="22"/>
        </w:rPr>
        <w:footnoteReference w:id="9"/>
      </w:r>
      <w:r w:rsidRPr="00C6672B">
        <w:t xml:space="preserve"> représentent une facture de 40,473 </w:t>
      </w:r>
      <w:r w:rsidR="009135A6">
        <w:t>milliard</w:t>
      </w:r>
      <w:r w:rsidRPr="00C6672B">
        <w:t xml:space="preserve"> de dollars en 2010 contre 39,294 </w:t>
      </w:r>
      <w:r w:rsidR="009135A6">
        <w:t>milliard</w:t>
      </w:r>
      <w:r w:rsidRPr="00C6672B">
        <w:t xml:space="preserve"> de dollars en 2009, soit une hausse de 3 %, mais en volume elles enregistrent une hausse plus significative de 5,4%. Il est utile de signaler que 30% des importations concernent des biens destinés au fonctionnement de l’outil de production et 39% des biens d’équipements ce qui se devrait se traduire par une croissance de la demande de couverture en assurance de même ordre.</w:t>
      </w:r>
    </w:p>
    <w:p w:rsidR="00EB1EBD" w:rsidRPr="008D65D9" w:rsidRDefault="00EB1EBD" w:rsidP="008D65D9">
      <w:pPr>
        <w:pStyle w:val="Titre2"/>
      </w:pPr>
      <w:bookmarkStart w:id="89" w:name="_Toc326155972"/>
      <w:bookmarkStart w:id="90" w:name="_Toc327883412"/>
      <w:bookmarkStart w:id="91" w:name="_Toc327883592"/>
      <w:bookmarkStart w:id="92" w:name="_Toc327883935"/>
      <w:bookmarkStart w:id="93" w:name="_Toc327884996"/>
      <w:r w:rsidRPr="008D65D9">
        <w:t>Le parc Automobile </w:t>
      </w:r>
      <w:bookmarkEnd w:id="89"/>
      <w:bookmarkEnd w:id="90"/>
      <w:bookmarkEnd w:id="91"/>
      <w:bookmarkEnd w:id="92"/>
      <w:bookmarkEnd w:id="93"/>
    </w:p>
    <w:p w:rsidR="00EB1EBD" w:rsidRPr="00C6672B" w:rsidRDefault="00EB1EBD" w:rsidP="00EB1EBD">
      <w:pPr>
        <w:spacing w:before="120"/>
      </w:pPr>
      <w:r w:rsidRPr="00C6672B">
        <w:t xml:space="preserve">Le marché automobile enregistre  241 601 nouveaux véhicules inscrits  dont 19 478 sont des importations effectuées par les particuliers et 222 123 vendus par les concessionnaires, compte non tenu des véhicules industriels commercialisés par la SNVI. Cette tendance explique en partie l’évolution de la branche automobile. </w:t>
      </w:r>
    </w:p>
    <w:p w:rsidR="00EB1EBD" w:rsidRPr="00C6672B" w:rsidRDefault="00EB1EBD" w:rsidP="00EB1EBD">
      <w:pPr>
        <w:spacing w:before="120"/>
      </w:pPr>
      <w:r w:rsidRPr="00C6672B">
        <w:t>Le dernier rapport de l’O</w:t>
      </w:r>
      <w:r w:rsidR="008D65D9">
        <w:t>.</w:t>
      </w:r>
      <w:r w:rsidRPr="00C6672B">
        <w:t>N</w:t>
      </w:r>
      <w:r w:rsidR="008D65D9">
        <w:t>.</w:t>
      </w:r>
      <w:r w:rsidRPr="00C6672B">
        <w:t>S</w:t>
      </w:r>
      <w:r w:rsidR="008D65D9">
        <w:t>.</w:t>
      </w:r>
      <w:r w:rsidRPr="00C6672B">
        <w:t xml:space="preserve"> relatif au parc automobile après épuration du double emploi d’enregistrement des cartes grises et du rapport des véhicules réformés par l’ENACTA, fait ressortir un volume du parc automobile à fin 2010 de 4.314.607 unités.</w:t>
      </w:r>
    </w:p>
    <w:p w:rsidR="00E77BD7" w:rsidRDefault="00E77BD7" w:rsidP="00E77BD7">
      <w:pPr>
        <w:rPr>
          <w:b/>
          <w:bCs/>
        </w:rPr>
      </w:pPr>
      <w:bookmarkStart w:id="94" w:name="_Toc326155973"/>
      <w:bookmarkStart w:id="95" w:name="_Toc327883413"/>
      <w:bookmarkStart w:id="96" w:name="_Toc327883593"/>
      <w:bookmarkStart w:id="97" w:name="_Toc327883936"/>
      <w:bookmarkStart w:id="98" w:name="_Toc327884997"/>
    </w:p>
    <w:p w:rsidR="00E77BD7" w:rsidRDefault="00E77BD7" w:rsidP="00E77BD7">
      <w:pPr>
        <w:rPr>
          <w:b/>
          <w:bCs/>
        </w:rPr>
      </w:pPr>
    </w:p>
    <w:p w:rsidR="00E77BD7" w:rsidRDefault="00E77BD7" w:rsidP="00E77BD7">
      <w:pPr>
        <w:rPr>
          <w:b/>
          <w:bCs/>
        </w:rPr>
      </w:pPr>
    </w:p>
    <w:p w:rsidR="00E77BD7" w:rsidRDefault="00E77BD7" w:rsidP="00E77BD7">
      <w:pPr>
        <w:rPr>
          <w:b/>
          <w:bCs/>
        </w:rPr>
      </w:pPr>
    </w:p>
    <w:p w:rsidR="00EB1EBD" w:rsidRPr="008D65D9" w:rsidRDefault="00EB1EBD" w:rsidP="008D65D9">
      <w:pPr>
        <w:pStyle w:val="Titre2"/>
      </w:pPr>
      <w:r w:rsidRPr="008D65D9">
        <w:t>Le parc immobilier </w:t>
      </w:r>
      <w:bookmarkEnd w:id="94"/>
      <w:bookmarkEnd w:id="95"/>
      <w:bookmarkEnd w:id="96"/>
      <w:bookmarkEnd w:id="97"/>
      <w:bookmarkEnd w:id="98"/>
    </w:p>
    <w:p w:rsidR="00EB1EBD" w:rsidRPr="00C6672B" w:rsidRDefault="00EB1EBD" w:rsidP="00EB1EBD">
      <w:pPr>
        <w:spacing w:before="120"/>
      </w:pPr>
      <w:r w:rsidRPr="00C6672B">
        <w:t xml:space="preserve">A fin 2010, le parc immobilier global a atteint 7.372.058 </w:t>
      </w:r>
      <w:r w:rsidR="0011164A" w:rsidRPr="00C6672B">
        <w:t>logements. Ce</w:t>
      </w:r>
      <w:r w:rsidRPr="00C6672B">
        <w:t xml:space="preserve"> chiffre est obtenu sur la base des données du dernier recensement 2008, complété par le nombre de logements livrés</w:t>
      </w:r>
      <w:r w:rsidRPr="00C6672B">
        <w:rPr>
          <w:rStyle w:val="Appelnotedebasdep"/>
          <w:sz w:val="22"/>
          <w:szCs w:val="22"/>
        </w:rPr>
        <w:footnoteReference w:id="10"/>
      </w:r>
      <w:r w:rsidRPr="00C6672B">
        <w:t xml:space="preserve"> à fin 2008 (220.821), 2009 (217.795) et 2010 (190.873). </w:t>
      </w:r>
    </w:p>
    <w:p w:rsidR="00EB1EBD" w:rsidRPr="00C6672B" w:rsidRDefault="00EB1EBD" w:rsidP="00EB1EBD">
      <w:pPr>
        <w:spacing w:before="120"/>
      </w:pPr>
      <w:r w:rsidRPr="00C6672B">
        <w:t xml:space="preserve">Les nouveaux projets lancés par le secteur du bâtiment durant l’année 2010 s’élèvent à 160.007 logements. </w:t>
      </w:r>
    </w:p>
    <w:p w:rsidR="00EB1EBD" w:rsidRPr="00C6672B" w:rsidRDefault="00EB1EBD" w:rsidP="00EB1EBD">
      <w:pPr>
        <w:spacing w:before="120"/>
      </w:pPr>
      <w:r w:rsidRPr="00C6672B">
        <w:t>Ces données devraient contribuer à la hausse du chiffre d’affaires en multirisques, engineering et CAT-NAT.</w:t>
      </w:r>
    </w:p>
    <w:p w:rsidR="00EB1EBD" w:rsidRPr="008D65D9" w:rsidRDefault="00EB1EBD" w:rsidP="00EB1EBD">
      <w:pPr>
        <w:pStyle w:val="Titre2"/>
      </w:pPr>
      <w:bookmarkStart w:id="99" w:name="_Toc326155974"/>
      <w:bookmarkStart w:id="100" w:name="_Toc327883414"/>
      <w:bookmarkStart w:id="101" w:name="_Toc327883594"/>
      <w:bookmarkStart w:id="102" w:name="_Toc327883937"/>
      <w:bookmarkStart w:id="103" w:name="_Toc327884998"/>
      <w:bookmarkStart w:id="104" w:name="_Toc327885582"/>
      <w:bookmarkStart w:id="105" w:name="_Toc327916509"/>
      <w:r w:rsidRPr="008D65D9">
        <w:t>La création d’entreprises</w:t>
      </w:r>
      <w:bookmarkEnd w:id="99"/>
      <w:bookmarkEnd w:id="100"/>
      <w:bookmarkEnd w:id="101"/>
      <w:bookmarkEnd w:id="102"/>
      <w:bookmarkEnd w:id="103"/>
      <w:bookmarkEnd w:id="104"/>
      <w:bookmarkEnd w:id="105"/>
    </w:p>
    <w:p w:rsidR="00EB1EBD" w:rsidRPr="00C6672B" w:rsidRDefault="00EB1EBD" w:rsidP="00C6672B">
      <w:pPr>
        <w:autoSpaceDE w:val="0"/>
        <w:autoSpaceDN w:val="0"/>
        <w:adjustRightInd w:val="0"/>
      </w:pPr>
      <w:r w:rsidRPr="00C6672B">
        <w:t xml:space="preserve">La dynamique de l’activité économique, en termes de création d’entreprises, rapportée par les statistiques d’inscription au registre de commerce publiées par le CNRC, enregistre une hausse de 27,3% durant  l’année 2010 par rapport à  2009. Les nouvelles immatriculations représentent 3,1%, les ré-immatriculations ont baissé de 50% soit (10 ré-immatriculations en 2010 contre 20 en 2009) et les modifications de 21,8%. Le nombre de commerces enregistrés sous la forme de personne physique représente 331 184 registres, les inscrits sous le statut de personne morale sont de 33 212 entités. </w:t>
      </w:r>
    </w:p>
    <w:p w:rsidR="00EB1EBD" w:rsidRPr="00C6672B" w:rsidRDefault="00EB1EBD" w:rsidP="00C6672B">
      <w:pPr>
        <w:autoSpaceDE w:val="0"/>
        <w:autoSpaceDN w:val="0"/>
        <w:adjustRightInd w:val="0"/>
      </w:pPr>
      <w:r w:rsidRPr="00C6672B">
        <w:t xml:space="preserve">Aussi, il y a lieu d’ajouter que le nombre d’activités artisanales actives en 2010, s’élève à 7.989 artisans dont 1.625 personnes morales. </w:t>
      </w:r>
    </w:p>
    <w:p w:rsidR="00EB1EBD" w:rsidRPr="00C6672B" w:rsidRDefault="00EB1EBD" w:rsidP="00C6672B">
      <w:pPr>
        <w:autoSpaceDE w:val="0"/>
        <w:autoSpaceDN w:val="0"/>
        <w:adjustRightInd w:val="0"/>
      </w:pPr>
      <w:r w:rsidRPr="00C6672B">
        <w:t xml:space="preserve">Le tissu économique à fin 2010 est  constitué de 1.407.449 commerçants actifs avec 124.840 entreprises morales. </w:t>
      </w:r>
    </w:p>
    <w:p w:rsidR="00EB1EBD" w:rsidRPr="00C6672B" w:rsidRDefault="00EB1EBD" w:rsidP="00C6672B">
      <w:pPr>
        <w:autoSpaceDE w:val="0"/>
        <w:autoSpaceDN w:val="0"/>
        <w:adjustRightInd w:val="0"/>
      </w:pPr>
      <w:r w:rsidRPr="00C6672B">
        <w:t>Ce tissu d’entreprises représente une demande potentielle en assurance des risques d’entreprises.</w:t>
      </w:r>
    </w:p>
    <w:p w:rsidR="00EB1EBD" w:rsidRPr="00221B28" w:rsidRDefault="00EB1EBD" w:rsidP="0011164A">
      <w:pPr>
        <w:pStyle w:val="Titre1"/>
        <w:shd w:val="clear" w:color="auto" w:fill="FFFFFF"/>
        <w:spacing w:before="360" w:after="60"/>
        <w:rPr>
          <w:color w:val="000000"/>
        </w:rPr>
      </w:pPr>
      <w:bookmarkStart w:id="106" w:name="_Toc326155975"/>
      <w:bookmarkStart w:id="107" w:name="_Toc327883415"/>
      <w:bookmarkStart w:id="108" w:name="_Toc327916510"/>
      <w:r w:rsidRPr="00221B28">
        <w:rPr>
          <w:color w:val="000000"/>
        </w:rPr>
        <w:t>accidentologie</w:t>
      </w:r>
      <w:bookmarkEnd w:id="106"/>
      <w:bookmarkEnd w:id="107"/>
      <w:bookmarkEnd w:id="108"/>
    </w:p>
    <w:p w:rsidR="00EB1EBD" w:rsidRPr="008D65D9" w:rsidRDefault="00EB1EBD" w:rsidP="0011164A">
      <w:pPr>
        <w:pStyle w:val="Titre2"/>
      </w:pPr>
      <w:r w:rsidRPr="008D65D9">
        <w:t xml:space="preserve">Sinistralité </w:t>
      </w:r>
      <w:r w:rsidR="0011164A" w:rsidRPr="008D65D9">
        <w:t>routière</w:t>
      </w:r>
    </w:p>
    <w:p w:rsidR="00EB1EBD" w:rsidRDefault="00EB1EBD" w:rsidP="00EB1EBD">
      <w:pPr>
        <w:shd w:val="clear" w:color="auto" w:fill="FFFFFF"/>
        <w:rPr>
          <w:color w:val="000000"/>
        </w:rPr>
      </w:pPr>
      <w:r>
        <w:rPr>
          <w:color w:val="000000"/>
        </w:rPr>
        <w:t>L</w:t>
      </w:r>
      <w:r w:rsidRPr="00221B28">
        <w:rPr>
          <w:color w:val="000000"/>
        </w:rPr>
        <w:t>e bilan officiel des sinistres corporels automobile</w:t>
      </w:r>
      <w:r>
        <w:rPr>
          <w:color w:val="000000"/>
        </w:rPr>
        <w:t>,</w:t>
      </w:r>
      <w:r w:rsidRPr="00221B28">
        <w:rPr>
          <w:color w:val="000000"/>
        </w:rPr>
        <w:t xml:space="preserve"> arrêté par le Centre National de Prévention et de Sécurité Routière</w:t>
      </w:r>
      <w:r>
        <w:rPr>
          <w:color w:val="000000"/>
        </w:rPr>
        <w:t xml:space="preserve"> (CNPSR)</w:t>
      </w:r>
      <w:r w:rsidRPr="00221B28">
        <w:rPr>
          <w:color w:val="000000"/>
        </w:rPr>
        <w:t xml:space="preserve"> à fin 20</w:t>
      </w:r>
      <w:r>
        <w:rPr>
          <w:color w:val="000000"/>
        </w:rPr>
        <w:t xml:space="preserve">10, </w:t>
      </w:r>
      <w:r w:rsidRPr="00221B28">
        <w:rPr>
          <w:color w:val="000000"/>
        </w:rPr>
        <w:t xml:space="preserve">s’élève à </w:t>
      </w:r>
      <w:r>
        <w:rPr>
          <w:color w:val="000000"/>
        </w:rPr>
        <w:t>32</w:t>
      </w:r>
      <w:r w:rsidRPr="00221B28">
        <w:rPr>
          <w:color w:val="000000"/>
        </w:rPr>
        <w:t xml:space="preserve"> </w:t>
      </w:r>
      <w:r>
        <w:rPr>
          <w:color w:val="000000"/>
        </w:rPr>
        <w:t>873</w:t>
      </w:r>
      <w:r w:rsidRPr="00221B28">
        <w:rPr>
          <w:color w:val="000000"/>
        </w:rPr>
        <w:t xml:space="preserve"> accidents ayant entrainé</w:t>
      </w:r>
      <w:r>
        <w:rPr>
          <w:color w:val="000000"/>
        </w:rPr>
        <w:t xml:space="preserve"> 3</w:t>
      </w:r>
      <w:r w:rsidRPr="00221B28">
        <w:rPr>
          <w:color w:val="000000"/>
        </w:rPr>
        <w:t xml:space="preserve"> </w:t>
      </w:r>
      <w:r>
        <w:rPr>
          <w:color w:val="000000"/>
        </w:rPr>
        <w:t>660</w:t>
      </w:r>
      <w:r w:rsidRPr="00221B28">
        <w:rPr>
          <w:color w:val="000000"/>
        </w:rPr>
        <w:t xml:space="preserve"> tués</w:t>
      </w:r>
      <w:r>
        <w:rPr>
          <w:color w:val="000000"/>
        </w:rPr>
        <w:t xml:space="preserve"> </w:t>
      </w:r>
      <w:r w:rsidRPr="00221B28">
        <w:rPr>
          <w:color w:val="000000"/>
        </w:rPr>
        <w:t>et</w:t>
      </w:r>
      <w:r>
        <w:rPr>
          <w:color w:val="000000"/>
        </w:rPr>
        <w:t xml:space="preserve"> 52</w:t>
      </w:r>
      <w:r w:rsidRPr="00221B28">
        <w:rPr>
          <w:color w:val="000000"/>
        </w:rPr>
        <w:t xml:space="preserve"> </w:t>
      </w:r>
      <w:r>
        <w:rPr>
          <w:color w:val="000000"/>
        </w:rPr>
        <w:t>435</w:t>
      </w:r>
      <w:r w:rsidRPr="00221B28">
        <w:rPr>
          <w:color w:val="000000"/>
        </w:rPr>
        <w:t xml:space="preserve"> blessés</w:t>
      </w:r>
      <w:r>
        <w:rPr>
          <w:color w:val="000000"/>
        </w:rPr>
        <w:t>. U</w:t>
      </w:r>
      <w:r w:rsidRPr="00221B28">
        <w:rPr>
          <w:color w:val="000000"/>
        </w:rPr>
        <w:t>n</w:t>
      </w:r>
      <w:r>
        <w:rPr>
          <w:color w:val="000000"/>
        </w:rPr>
        <w:t>e baisse est</w:t>
      </w:r>
      <w:r w:rsidRPr="00221B28">
        <w:rPr>
          <w:color w:val="000000"/>
        </w:rPr>
        <w:t xml:space="preserve"> </w:t>
      </w:r>
      <w:r>
        <w:rPr>
          <w:color w:val="000000"/>
        </w:rPr>
        <w:t>enregistrée</w:t>
      </w:r>
      <w:r w:rsidRPr="00221B28">
        <w:rPr>
          <w:color w:val="000000"/>
        </w:rPr>
        <w:t xml:space="preserve"> par rapport aux résultats de 200</w:t>
      </w:r>
      <w:r>
        <w:rPr>
          <w:color w:val="000000"/>
        </w:rPr>
        <w:t>9</w:t>
      </w:r>
      <w:r w:rsidRPr="00221B28">
        <w:rPr>
          <w:color w:val="000000"/>
        </w:rPr>
        <w:t>, avec des taux respecti</w:t>
      </w:r>
      <w:r>
        <w:rPr>
          <w:color w:val="000000"/>
        </w:rPr>
        <w:t>f</w:t>
      </w:r>
      <w:r w:rsidRPr="00221B28">
        <w:rPr>
          <w:color w:val="000000"/>
        </w:rPr>
        <w:t>s de (</w:t>
      </w:r>
      <w:r>
        <w:rPr>
          <w:color w:val="000000"/>
        </w:rPr>
        <w:t>-20</w:t>
      </w:r>
      <w:r w:rsidRPr="00221B28">
        <w:rPr>
          <w:color w:val="000000"/>
        </w:rPr>
        <w:t>,</w:t>
      </w:r>
      <w:r>
        <w:rPr>
          <w:color w:val="000000"/>
        </w:rPr>
        <w:t>26</w:t>
      </w:r>
      <w:r w:rsidRPr="00221B28">
        <w:rPr>
          <w:color w:val="000000"/>
        </w:rPr>
        <w:t>%)  d</w:t>
      </w:r>
      <w:r>
        <w:rPr>
          <w:color w:val="000000"/>
        </w:rPr>
        <w:t>u nombre d’</w:t>
      </w:r>
      <w:r w:rsidRPr="00221B28">
        <w:rPr>
          <w:color w:val="000000"/>
        </w:rPr>
        <w:t>accidents, (</w:t>
      </w:r>
      <w:r>
        <w:rPr>
          <w:color w:val="000000"/>
        </w:rPr>
        <w:t>- 20,56</w:t>
      </w:r>
      <w:r w:rsidRPr="00221B28">
        <w:rPr>
          <w:color w:val="000000"/>
        </w:rPr>
        <w:t xml:space="preserve">%) </w:t>
      </w:r>
      <w:r>
        <w:rPr>
          <w:color w:val="000000"/>
        </w:rPr>
        <w:t xml:space="preserve">du nombre </w:t>
      </w:r>
      <w:r w:rsidRPr="00221B28">
        <w:rPr>
          <w:color w:val="000000"/>
        </w:rPr>
        <w:t>de tués et (</w:t>
      </w:r>
      <w:r>
        <w:rPr>
          <w:color w:val="000000"/>
        </w:rPr>
        <w:t>- 19</w:t>
      </w:r>
      <w:r w:rsidRPr="00221B28">
        <w:rPr>
          <w:color w:val="000000"/>
        </w:rPr>
        <w:t>,</w:t>
      </w:r>
      <w:r>
        <w:rPr>
          <w:color w:val="000000"/>
        </w:rPr>
        <w:t>53</w:t>
      </w:r>
      <w:r w:rsidRPr="00221B28">
        <w:rPr>
          <w:color w:val="000000"/>
        </w:rPr>
        <w:t xml:space="preserve">%) </w:t>
      </w:r>
      <w:r>
        <w:rPr>
          <w:color w:val="000000"/>
        </w:rPr>
        <w:t xml:space="preserve">du nombre </w:t>
      </w:r>
      <w:r w:rsidRPr="00221B28">
        <w:rPr>
          <w:color w:val="000000"/>
        </w:rPr>
        <w:t>de blessés.</w:t>
      </w:r>
    </w:p>
    <w:p w:rsidR="00EB1EBD" w:rsidRDefault="00EB1EBD" w:rsidP="00EB1EBD">
      <w:pPr>
        <w:shd w:val="clear" w:color="auto" w:fill="FFFFFF"/>
        <w:rPr>
          <w:color w:val="000000"/>
        </w:rPr>
      </w:pPr>
      <w:r w:rsidRPr="00221B28">
        <w:rPr>
          <w:color w:val="000000"/>
        </w:rPr>
        <w:t>La moyenne annuelle journalière d</w:t>
      </w:r>
      <w:r>
        <w:rPr>
          <w:color w:val="000000"/>
        </w:rPr>
        <w:t>u nombre d’</w:t>
      </w:r>
      <w:r w:rsidRPr="00221B28">
        <w:rPr>
          <w:color w:val="000000"/>
        </w:rPr>
        <w:t xml:space="preserve">accidents est de </w:t>
      </w:r>
      <w:r>
        <w:rPr>
          <w:color w:val="000000"/>
        </w:rPr>
        <w:t>90 accidents/jour</w:t>
      </w:r>
      <w:r w:rsidRPr="00221B28">
        <w:rPr>
          <w:color w:val="000000"/>
        </w:rPr>
        <w:t xml:space="preserve"> </w:t>
      </w:r>
      <w:r>
        <w:rPr>
          <w:color w:val="000000"/>
        </w:rPr>
        <w:t xml:space="preserve">en 2010 contre </w:t>
      </w:r>
      <w:r w:rsidRPr="00221B28">
        <w:rPr>
          <w:color w:val="000000"/>
        </w:rPr>
        <w:t>113</w:t>
      </w:r>
      <w:r>
        <w:rPr>
          <w:color w:val="000000"/>
        </w:rPr>
        <w:t xml:space="preserve"> en 2009</w:t>
      </w:r>
      <w:r w:rsidRPr="00221B28">
        <w:rPr>
          <w:color w:val="000000"/>
        </w:rPr>
        <w:t>, celle d</w:t>
      </w:r>
      <w:r>
        <w:rPr>
          <w:color w:val="000000"/>
        </w:rPr>
        <w:t xml:space="preserve">u nombre de </w:t>
      </w:r>
      <w:r w:rsidRPr="00221B28">
        <w:rPr>
          <w:color w:val="000000"/>
        </w:rPr>
        <w:t>tués est de 1</w:t>
      </w:r>
      <w:r>
        <w:rPr>
          <w:color w:val="000000"/>
        </w:rPr>
        <w:t>0</w:t>
      </w:r>
      <w:r w:rsidRPr="00221B28">
        <w:rPr>
          <w:color w:val="000000"/>
        </w:rPr>
        <w:t xml:space="preserve"> morts/jours </w:t>
      </w:r>
      <w:r>
        <w:rPr>
          <w:color w:val="000000"/>
        </w:rPr>
        <w:t xml:space="preserve">contre 13 en 2009 </w:t>
      </w:r>
      <w:r w:rsidRPr="00221B28">
        <w:rPr>
          <w:color w:val="000000"/>
        </w:rPr>
        <w:t xml:space="preserve">et </w:t>
      </w:r>
      <w:r>
        <w:rPr>
          <w:color w:val="000000"/>
        </w:rPr>
        <w:t xml:space="preserve">celle du nombre de blessés est de </w:t>
      </w:r>
      <w:r w:rsidRPr="00221B28">
        <w:rPr>
          <w:color w:val="000000"/>
        </w:rPr>
        <w:t>1</w:t>
      </w:r>
      <w:r>
        <w:rPr>
          <w:color w:val="000000"/>
        </w:rPr>
        <w:t>43</w:t>
      </w:r>
      <w:r w:rsidRPr="00221B28">
        <w:rPr>
          <w:color w:val="000000"/>
        </w:rPr>
        <w:t xml:space="preserve"> blessés</w:t>
      </w:r>
      <w:r>
        <w:rPr>
          <w:color w:val="000000"/>
        </w:rPr>
        <w:t>/</w:t>
      </w:r>
      <w:r w:rsidRPr="00221B28">
        <w:rPr>
          <w:color w:val="000000"/>
        </w:rPr>
        <w:t>jour</w:t>
      </w:r>
      <w:r>
        <w:rPr>
          <w:color w:val="000000"/>
        </w:rPr>
        <w:t xml:space="preserve"> contre 178 en 2009</w:t>
      </w:r>
      <w:r w:rsidRPr="00221B28">
        <w:rPr>
          <w:color w:val="000000"/>
        </w:rPr>
        <w:t>.</w:t>
      </w:r>
      <w:r>
        <w:rPr>
          <w:color w:val="000000"/>
        </w:rPr>
        <w:t xml:space="preserve"> </w:t>
      </w:r>
    </w:p>
    <w:p w:rsidR="00EB1EBD" w:rsidRDefault="00EB1EBD" w:rsidP="00EB1EBD">
      <w:pPr>
        <w:shd w:val="clear" w:color="auto" w:fill="FFFFFF"/>
        <w:rPr>
          <w:color w:val="000000"/>
        </w:rPr>
      </w:pPr>
      <w:r>
        <w:rPr>
          <w:color w:val="000000"/>
        </w:rPr>
        <w:t xml:space="preserve">Cette régression ferait suite à la révision du code de la route et à son application par les autorités compétentes à partir  du mois d’avril 2010.  </w:t>
      </w:r>
    </w:p>
    <w:p w:rsidR="00EB1EBD" w:rsidRDefault="00EB1EBD" w:rsidP="00EB1EBD">
      <w:pPr>
        <w:shd w:val="clear" w:color="auto" w:fill="FFFFFF"/>
        <w:jc w:val="center"/>
        <w:rPr>
          <w:color w:val="000000"/>
        </w:rPr>
      </w:pPr>
      <w:r>
        <w:rPr>
          <w:noProof/>
        </w:rPr>
        <w:lastRenderedPageBreak/>
        <w:drawing>
          <wp:inline distT="0" distB="0" distL="0" distR="0">
            <wp:extent cx="5760720" cy="2378063"/>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2378063"/>
                    </a:xfrm>
                    <a:prstGeom prst="rect">
                      <a:avLst/>
                    </a:prstGeom>
                    <a:noFill/>
                    <a:ln w="9525">
                      <a:noFill/>
                      <a:miter lim="800000"/>
                      <a:headEnd/>
                      <a:tailEnd/>
                    </a:ln>
                  </pic:spPr>
                </pic:pic>
              </a:graphicData>
            </a:graphic>
          </wp:inline>
        </w:drawing>
      </w:r>
    </w:p>
    <w:p w:rsidR="00EB1EBD" w:rsidRDefault="00EB1EBD" w:rsidP="00EB1EBD">
      <w:pPr>
        <w:shd w:val="clear" w:color="auto" w:fill="FFFFFF"/>
        <w:jc w:val="center"/>
        <w:rPr>
          <w:color w:val="000000"/>
        </w:rPr>
      </w:pPr>
    </w:p>
    <w:p w:rsidR="00EB1EBD" w:rsidRDefault="00EB1EBD" w:rsidP="00EB1EBD">
      <w:pPr>
        <w:shd w:val="clear" w:color="auto" w:fill="FFFFFF"/>
        <w:rPr>
          <w:color w:val="000000"/>
        </w:rPr>
      </w:pPr>
      <w:r>
        <w:rPr>
          <w:color w:val="000000"/>
        </w:rPr>
        <w:t>Le nombre de véhicules impliqués dans les accidents de circulation est passé de 57 149 véhicules en 2009 à 45 460 véhicules en 2010 soit une baisse de 20,45%</w:t>
      </w:r>
      <w:r w:rsidRPr="00221B28">
        <w:rPr>
          <w:color w:val="000000"/>
        </w:rPr>
        <w:t xml:space="preserve">. </w:t>
      </w:r>
    </w:p>
    <w:p w:rsidR="00EB1EBD" w:rsidRPr="00221B28" w:rsidRDefault="00EB1EBD" w:rsidP="0011010E">
      <w:pPr>
        <w:shd w:val="clear" w:color="auto" w:fill="FFFFFF"/>
        <w:spacing w:line="276" w:lineRule="auto"/>
        <w:rPr>
          <w:color w:val="000000"/>
        </w:rPr>
      </w:pPr>
      <w:r>
        <w:rPr>
          <w:color w:val="000000"/>
        </w:rPr>
        <w:t>Les causes directes d’accidents sont à 88,7% liées aux facteurs humains, 4,60% à l’état des véhicules et 3,43% à l’environnement.</w:t>
      </w:r>
    </w:p>
    <w:p w:rsidR="00EB1EBD" w:rsidRDefault="00EB1EBD" w:rsidP="00EB1EBD">
      <w:pPr>
        <w:shd w:val="clear" w:color="auto" w:fill="FFFFFF"/>
        <w:autoSpaceDE w:val="0"/>
        <w:autoSpaceDN w:val="0"/>
        <w:adjustRightInd w:val="0"/>
        <w:spacing w:before="120" w:line="240" w:lineRule="auto"/>
        <w:rPr>
          <w:color w:val="000000"/>
        </w:rPr>
      </w:pPr>
      <w:r w:rsidRPr="00221B28">
        <w:rPr>
          <w:color w:val="000000"/>
        </w:rPr>
        <w:t xml:space="preserve">Le coût annuel direct évalué par le commandement de la Gendarmerie nationale </w:t>
      </w:r>
      <w:r>
        <w:rPr>
          <w:color w:val="000000"/>
        </w:rPr>
        <w:t>avoisine</w:t>
      </w:r>
      <w:r w:rsidRPr="00221B28">
        <w:rPr>
          <w:color w:val="000000"/>
        </w:rPr>
        <w:t xml:space="preserve"> les 1</w:t>
      </w:r>
      <w:r>
        <w:rPr>
          <w:color w:val="000000"/>
        </w:rPr>
        <w:t>3</w:t>
      </w:r>
      <w:r w:rsidRPr="00221B28">
        <w:rPr>
          <w:color w:val="000000"/>
        </w:rPr>
        <w:t xml:space="preserve">0 </w:t>
      </w:r>
      <w:r w:rsidR="009135A6">
        <w:rPr>
          <w:color w:val="000000"/>
        </w:rPr>
        <w:t>milliard</w:t>
      </w:r>
      <w:r w:rsidRPr="00221B28">
        <w:rPr>
          <w:color w:val="000000"/>
        </w:rPr>
        <w:t xml:space="preserve"> de dinars (1,</w:t>
      </w:r>
      <w:r>
        <w:rPr>
          <w:color w:val="000000"/>
        </w:rPr>
        <w:t>7</w:t>
      </w:r>
      <w:r w:rsidR="009135A6">
        <w:rPr>
          <w:color w:val="000000"/>
        </w:rPr>
        <w:t>milliard</w:t>
      </w:r>
      <w:r w:rsidRPr="00221B28">
        <w:rPr>
          <w:color w:val="000000"/>
        </w:rPr>
        <w:t xml:space="preserve"> USD) </w:t>
      </w:r>
    </w:p>
    <w:p w:rsidR="00EB1EBD" w:rsidRPr="008D65D9" w:rsidRDefault="00EB1EBD" w:rsidP="008D65D9">
      <w:pPr>
        <w:pStyle w:val="Titre2"/>
      </w:pPr>
      <w:r w:rsidRPr="008D65D9">
        <w:t>Sinistres particuliers et industriels</w:t>
      </w:r>
      <w:r w:rsidRPr="00221B28">
        <w:t> :</w:t>
      </w:r>
    </w:p>
    <w:p w:rsidR="00EB1EBD" w:rsidRDefault="00EB1EBD" w:rsidP="00EB1EBD">
      <w:r w:rsidRPr="00221B28">
        <w:t xml:space="preserve">Les sinistres particuliers </w:t>
      </w:r>
      <w:r>
        <w:t xml:space="preserve">touchant les </w:t>
      </w:r>
      <w:r w:rsidRPr="00221B28">
        <w:t xml:space="preserve">habitations </w:t>
      </w:r>
      <w:r>
        <w:t xml:space="preserve">sont </w:t>
      </w:r>
      <w:r w:rsidRPr="00221B28">
        <w:t>important</w:t>
      </w:r>
      <w:r>
        <w:t>s</w:t>
      </w:r>
      <w:r w:rsidRPr="00221B28">
        <w:t xml:space="preserve"> et </w:t>
      </w:r>
      <w:r>
        <w:t>diversifiés.</w:t>
      </w:r>
    </w:p>
    <w:p w:rsidR="00EB1EBD" w:rsidRDefault="00EB1EBD" w:rsidP="00EB1EBD">
      <w:r w:rsidRPr="00221B28">
        <w:t>Au cours de l’année 20</w:t>
      </w:r>
      <w:r>
        <w:t>10</w:t>
      </w:r>
      <w:r w:rsidRPr="00221B28">
        <w:t xml:space="preserve">, </w:t>
      </w:r>
      <w:r>
        <w:t>6300</w:t>
      </w:r>
      <w:r w:rsidRPr="00221B28">
        <w:t xml:space="preserve"> incendi</w:t>
      </w:r>
      <w:r>
        <w:t>e</w:t>
      </w:r>
      <w:r w:rsidRPr="00221B28">
        <w:t xml:space="preserve">s </w:t>
      </w:r>
      <w:r>
        <w:t>urbains</w:t>
      </w:r>
      <w:r w:rsidRPr="00221B28">
        <w:t xml:space="preserve"> </w:t>
      </w:r>
      <w:r>
        <w:t>ont</w:t>
      </w:r>
      <w:r w:rsidRPr="00221B28">
        <w:t xml:space="preserve"> été enregistré</w:t>
      </w:r>
      <w:r>
        <w:t>s</w:t>
      </w:r>
      <w:r w:rsidRPr="00221B28">
        <w:t xml:space="preserve"> par la protection civile </w:t>
      </w:r>
      <w:r>
        <w:t>et 813 interventions d’asphyxies</w:t>
      </w:r>
      <w:r w:rsidRPr="00221B28">
        <w:t xml:space="preserve"> </w:t>
      </w:r>
      <w:r>
        <w:t>ayant occasionné 302</w:t>
      </w:r>
      <w:r w:rsidRPr="00221B28">
        <w:t xml:space="preserve"> décès et 8</w:t>
      </w:r>
      <w:r>
        <w:t>1</w:t>
      </w:r>
      <w:r w:rsidRPr="00221B28">
        <w:t>3 blessés secourus</w:t>
      </w:r>
      <w:r>
        <w:t>.</w:t>
      </w:r>
      <w:r w:rsidRPr="00221B28">
        <w:t xml:space="preserve"> </w:t>
      </w:r>
    </w:p>
    <w:p w:rsidR="00EB1EBD" w:rsidRDefault="00EB1EBD" w:rsidP="00EB1EBD">
      <w:r>
        <w:t>Le bilan annuel de la protection civile pour les accidents domestiques révèle :</w:t>
      </w:r>
    </w:p>
    <w:p w:rsidR="00EB1EBD" w:rsidRPr="0011010E" w:rsidRDefault="00EB1EBD" w:rsidP="00EB1EBD">
      <w:pPr>
        <w:pStyle w:val="Paragraphedeliste"/>
        <w:numPr>
          <w:ilvl w:val="0"/>
          <w:numId w:val="44"/>
        </w:numPr>
        <w:spacing w:after="120" w:line="264" w:lineRule="auto"/>
        <w:contextualSpacing/>
        <w:jc w:val="both"/>
        <w:rPr>
          <w:rFonts w:ascii="Trebuchet MS" w:hAnsi="Trebuchet MS"/>
        </w:rPr>
      </w:pPr>
      <w:r w:rsidRPr="0011010E">
        <w:rPr>
          <w:rFonts w:ascii="Trebuchet MS" w:hAnsi="Trebuchet MS"/>
        </w:rPr>
        <w:t xml:space="preserve">65 décès par brûlures et 883 personnes secourues sur un total de 800 interventions ; </w:t>
      </w:r>
    </w:p>
    <w:p w:rsidR="00EB1EBD" w:rsidRPr="0011010E" w:rsidRDefault="00EB1EBD" w:rsidP="00EB1EBD">
      <w:pPr>
        <w:pStyle w:val="Paragraphedeliste"/>
        <w:numPr>
          <w:ilvl w:val="0"/>
          <w:numId w:val="44"/>
        </w:numPr>
        <w:spacing w:after="120" w:line="264" w:lineRule="auto"/>
        <w:contextualSpacing/>
        <w:jc w:val="both"/>
        <w:rPr>
          <w:rFonts w:ascii="Trebuchet MS" w:hAnsi="Trebuchet MS"/>
        </w:rPr>
      </w:pPr>
      <w:r w:rsidRPr="0011010E">
        <w:rPr>
          <w:rFonts w:ascii="Trebuchet MS" w:hAnsi="Trebuchet MS"/>
        </w:rPr>
        <w:t>23 décès  suite à des explosions causées généralement par le gaz butane, s</w:t>
      </w:r>
      <w:r w:rsidR="0078447D">
        <w:rPr>
          <w:rFonts w:ascii="Trebuchet MS" w:hAnsi="Trebuchet MS"/>
        </w:rPr>
        <w:t>ur un total de 64 interventions ;</w:t>
      </w:r>
      <w:r w:rsidRPr="0011010E">
        <w:rPr>
          <w:rFonts w:ascii="Trebuchet MS" w:hAnsi="Trebuchet MS"/>
        </w:rPr>
        <w:t> </w:t>
      </w:r>
    </w:p>
    <w:p w:rsidR="00EB1EBD" w:rsidRPr="0011010E" w:rsidRDefault="00EB1EBD" w:rsidP="00EB1EBD">
      <w:pPr>
        <w:pStyle w:val="Paragraphedeliste"/>
        <w:numPr>
          <w:ilvl w:val="0"/>
          <w:numId w:val="44"/>
        </w:numPr>
        <w:spacing w:after="120" w:line="264" w:lineRule="auto"/>
        <w:contextualSpacing/>
        <w:jc w:val="both"/>
        <w:rPr>
          <w:rFonts w:ascii="Trebuchet MS" w:hAnsi="Trebuchet MS"/>
        </w:rPr>
      </w:pPr>
      <w:r w:rsidRPr="0011010E">
        <w:rPr>
          <w:rFonts w:ascii="Trebuchet MS" w:hAnsi="Trebuchet MS"/>
        </w:rPr>
        <w:t xml:space="preserve">13 décès et 132 blessés lors de 960 effondrements d’habitations objet de 1 247 interventions ; </w:t>
      </w:r>
    </w:p>
    <w:p w:rsidR="00EB1EBD" w:rsidRPr="0011010E" w:rsidRDefault="00EB1EBD" w:rsidP="00EB1EBD">
      <w:pPr>
        <w:pStyle w:val="Paragraphedeliste"/>
        <w:numPr>
          <w:ilvl w:val="0"/>
          <w:numId w:val="44"/>
        </w:numPr>
        <w:spacing w:after="120" w:line="264" w:lineRule="auto"/>
        <w:contextualSpacing/>
        <w:jc w:val="both"/>
        <w:rPr>
          <w:rFonts w:ascii="Trebuchet MS" w:hAnsi="Trebuchet MS"/>
        </w:rPr>
      </w:pPr>
      <w:r w:rsidRPr="0011010E">
        <w:rPr>
          <w:rFonts w:ascii="Trebuchet MS" w:hAnsi="Trebuchet MS"/>
        </w:rPr>
        <w:t>12 décès et 114 blessés</w:t>
      </w:r>
      <w:r w:rsidRPr="0011010E" w:rsidDel="00750D3B">
        <w:rPr>
          <w:rFonts w:ascii="Trebuchet MS" w:hAnsi="Trebuchet MS"/>
        </w:rPr>
        <w:t xml:space="preserve"> </w:t>
      </w:r>
      <w:r w:rsidRPr="0011010E">
        <w:rPr>
          <w:rFonts w:ascii="Trebuchet MS" w:hAnsi="Trebuchet MS"/>
        </w:rPr>
        <w:t xml:space="preserve"> suite aux inondations de 1 370 habitations et locaux.</w:t>
      </w:r>
    </w:p>
    <w:p w:rsidR="00EB1EBD" w:rsidRDefault="00EB1EBD" w:rsidP="00EB1EBD">
      <w:r w:rsidRPr="00221B28">
        <w:t>Le nombre d’incendie</w:t>
      </w:r>
      <w:r>
        <w:t>s</w:t>
      </w:r>
      <w:r w:rsidRPr="00221B28">
        <w:t xml:space="preserve"> industriel</w:t>
      </w:r>
      <w:r>
        <w:t>s</w:t>
      </w:r>
      <w:r w:rsidRPr="00221B28">
        <w:t xml:space="preserve"> enregistré au cours de l’année 20</w:t>
      </w:r>
      <w:r>
        <w:t>10</w:t>
      </w:r>
      <w:r w:rsidRPr="00221B28">
        <w:t xml:space="preserve"> est de</w:t>
      </w:r>
      <w:r>
        <w:t xml:space="preserve"> 483 contre</w:t>
      </w:r>
      <w:r w:rsidRPr="00221B28">
        <w:t xml:space="preserve"> 989</w:t>
      </w:r>
      <w:r>
        <w:t xml:space="preserve"> en 2009 soit une baisse de 51%</w:t>
      </w:r>
      <w:r w:rsidRPr="00221B28">
        <w:t xml:space="preserve">. </w:t>
      </w:r>
    </w:p>
    <w:p w:rsidR="00EB1EBD" w:rsidRDefault="00EB1EBD" w:rsidP="00EB1EBD">
      <w:r>
        <w:t>Dans le secteur agricole, les</w:t>
      </w:r>
      <w:r w:rsidRPr="00221B28">
        <w:t xml:space="preserve"> feux </w:t>
      </w:r>
      <w:r>
        <w:t>ont</w:t>
      </w:r>
      <w:r w:rsidRPr="00221B28">
        <w:t xml:space="preserve"> occasionné </w:t>
      </w:r>
      <w:r>
        <w:t xml:space="preserve">une perte </w:t>
      </w:r>
      <w:r w:rsidRPr="00221B28">
        <w:t xml:space="preserve">de </w:t>
      </w:r>
      <w:r>
        <w:t>8 957,71</w:t>
      </w:r>
      <w:r w:rsidRPr="00221B28">
        <w:t xml:space="preserve"> hectares de récolte </w:t>
      </w:r>
      <w:r>
        <w:t>céréalière, 109</w:t>
      </w:r>
      <w:r w:rsidRPr="00221B28">
        <w:t> </w:t>
      </w:r>
      <w:r>
        <w:t>865</w:t>
      </w:r>
      <w:r w:rsidRPr="00221B28">
        <w:t xml:space="preserve"> arbres fruitiers et </w:t>
      </w:r>
      <w:r>
        <w:t>20</w:t>
      </w:r>
      <w:r w:rsidRPr="00221B28">
        <w:t> </w:t>
      </w:r>
      <w:r>
        <w:t>153</w:t>
      </w:r>
      <w:r w:rsidRPr="00221B28">
        <w:t xml:space="preserve"> palmiers.</w:t>
      </w:r>
      <w:r>
        <w:t xml:space="preserve"> </w:t>
      </w:r>
    </w:p>
    <w:p w:rsidR="0011164A" w:rsidRDefault="0011164A" w:rsidP="00EB1EBD"/>
    <w:p w:rsidR="0011164A" w:rsidRDefault="0011164A" w:rsidP="00EB1EBD"/>
    <w:p w:rsidR="0011164A" w:rsidRDefault="0011164A" w:rsidP="00EB1EBD"/>
    <w:p w:rsidR="0011164A" w:rsidRDefault="0011164A" w:rsidP="00EB1EBD"/>
    <w:p w:rsidR="00EB1EBD" w:rsidRDefault="00EB1EBD" w:rsidP="00EB1EBD"/>
    <w:p w:rsidR="00EB1EBD" w:rsidRPr="00E603AD" w:rsidRDefault="00EB1EBD" w:rsidP="00EB1EBD">
      <w:pPr>
        <w:pStyle w:val="TM1"/>
        <w:tabs>
          <w:tab w:val="right" w:leader="dot" w:pos="9628"/>
        </w:tabs>
        <w:rPr>
          <w:rFonts w:ascii="Trebuchet MS" w:hAnsi="Trebuchet MS" w:cs="Tahoma"/>
          <w:bCs w:val="0"/>
          <w:caps w:val="0"/>
          <w:sz w:val="28"/>
        </w:rPr>
      </w:pPr>
      <w:r w:rsidRPr="00E603AD">
        <w:rPr>
          <w:rFonts w:ascii="Trebuchet MS" w:hAnsi="Trebuchet MS" w:cs="Tahoma"/>
          <w:bCs w:val="0"/>
          <w:caps w:val="0"/>
          <w:sz w:val="28"/>
        </w:rPr>
        <w:lastRenderedPageBreak/>
        <w:t xml:space="preserve">CONTEXTE  REGLEMENTAIRE  2010 </w:t>
      </w:r>
    </w:p>
    <w:p w:rsidR="00EB1EBD" w:rsidRPr="0011010E" w:rsidRDefault="00EB1EBD" w:rsidP="0011010E">
      <w:pPr>
        <w:tabs>
          <w:tab w:val="left" w:pos="4130"/>
        </w:tabs>
        <w:jc w:val="lowKashida"/>
        <w:rPr>
          <w:szCs w:val="20"/>
        </w:rPr>
      </w:pPr>
      <w:r w:rsidRPr="0011010E">
        <w:rPr>
          <w:szCs w:val="20"/>
        </w:rPr>
        <w:t xml:space="preserve">Au cours de l’année 2010, le Journal Officiel a publié trois (3) textes (un décret exécutif et deux arrêtés) en rapport avec le secteur des assurances auxquels s’ajoutent : </w:t>
      </w:r>
    </w:p>
    <w:p w:rsidR="00EB1EBD" w:rsidRPr="0011010E" w:rsidRDefault="00EB1EBD" w:rsidP="0011164A">
      <w:pPr>
        <w:numPr>
          <w:ilvl w:val="0"/>
          <w:numId w:val="46"/>
        </w:numPr>
        <w:ind w:left="567" w:hanging="284"/>
        <w:jc w:val="left"/>
        <w:rPr>
          <w:szCs w:val="20"/>
        </w:rPr>
      </w:pPr>
      <w:r w:rsidRPr="0011010E">
        <w:rPr>
          <w:szCs w:val="20"/>
        </w:rPr>
        <w:t>une disposition de la loi de finance complémentaire qui introduit, dans l’ordonnance 95-07, modifiée et comp</w:t>
      </w:r>
      <w:r w:rsidR="0078447D">
        <w:rPr>
          <w:szCs w:val="20"/>
        </w:rPr>
        <w:t>létée,  un article  204  sexies</w:t>
      </w:r>
      <w:r w:rsidRPr="0011010E">
        <w:rPr>
          <w:szCs w:val="20"/>
        </w:rPr>
        <w:t>; </w:t>
      </w:r>
    </w:p>
    <w:p w:rsidR="00EB1EBD" w:rsidRPr="0011010E" w:rsidRDefault="00EB1EBD" w:rsidP="0011164A">
      <w:pPr>
        <w:numPr>
          <w:ilvl w:val="0"/>
          <w:numId w:val="46"/>
        </w:numPr>
        <w:ind w:left="567" w:hanging="284"/>
        <w:jc w:val="left"/>
        <w:rPr>
          <w:szCs w:val="20"/>
        </w:rPr>
      </w:pPr>
      <w:r w:rsidRPr="0011010E">
        <w:rPr>
          <w:szCs w:val="20"/>
        </w:rPr>
        <w:t xml:space="preserve"> une disposition de la loi de finances pour 2011 relative à l’obligation de transmission  trimestrielle  à l’administration fiscale d'un listing des polices d'assurances souscrites ;</w:t>
      </w:r>
    </w:p>
    <w:p w:rsidR="00EB1EBD" w:rsidRPr="0011010E" w:rsidRDefault="00EB1EBD" w:rsidP="0011164A">
      <w:pPr>
        <w:numPr>
          <w:ilvl w:val="0"/>
          <w:numId w:val="46"/>
        </w:numPr>
        <w:ind w:left="567" w:hanging="284"/>
        <w:jc w:val="left"/>
        <w:rPr>
          <w:szCs w:val="20"/>
        </w:rPr>
      </w:pPr>
      <w:r w:rsidRPr="0011010E">
        <w:rPr>
          <w:szCs w:val="20"/>
        </w:rPr>
        <w:t>Le statut particulier des fonctionnaires appartenant aux corps spécifiques à l’administration du Trésor, de la comptabilité et des assurances ;</w:t>
      </w:r>
    </w:p>
    <w:p w:rsidR="00EB1EBD" w:rsidRPr="0011010E" w:rsidRDefault="00EB1EBD" w:rsidP="0011164A">
      <w:pPr>
        <w:numPr>
          <w:ilvl w:val="0"/>
          <w:numId w:val="46"/>
        </w:numPr>
        <w:ind w:left="567" w:hanging="284"/>
        <w:jc w:val="left"/>
        <w:rPr>
          <w:szCs w:val="20"/>
        </w:rPr>
      </w:pPr>
      <w:r w:rsidRPr="0011010E">
        <w:rPr>
          <w:szCs w:val="20"/>
        </w:rPr>
        <w:t xml:space="preserve"> (08) arrêtés en rapport avec le mouvement des courtiers (agrément et retraits d’agrément)</w:t>
      </w:r>
      <w:r w:rsidR="0078447D">
        <w:rPr>
          <w:szCs w:val="20"/>
        </w:rPr>
        <w:t>.</w:t>
      </w:r>
    </w:p>
    <w:p w:rsidR="00EB1EBD" w:rsidRPr="0011010E" w:rsidRDefault="00EB1EBD" w:rsidP="00EB1EBD">
      <w:pPr>
        <w:spacing w:after="0" w:line="240" w:lineRule="auto"/>
        <w:rPr>
          <w:sz w:val="20"/>
          <w:szCs w:val="20"/>
        </w:rPr>
      </w:pPr>
    </w:p>
    <w:p w:rsidR="00EB1EBD" w:rsidRPr="008D65D9" w:rsidRDefault="00EB1EBD" w:rsidP="008D65D9">
      <w:pPr>
        <w:pStyle w:val="Titre2"/>
      </w:pPr>
      <w:r w:rsidRPr="008D65D9">
        <w:t xml:space="preserve">Evolution des textes régissant le secteur des assurances </w:t>
      </w:r>
    </w:p>
    <w:p w:rsidR="00EB1EBD" w:rsidRPr="0011010E" w:rsidRDefault="00EB1EBD" w:rsidP="00EB1EBD">
      <w:pPr>
        <w:spacing w:after="0" w:line="240" w:lineRule="auto"/>
        <w:rPr>
          <w:rFonts w:cs="Tahoma"/>
          <w:b/>
          <w:sz w:val="20"/>
          <w:szCs w:val="20"/>
        </w:rPr>
      </w:pPr>
    </w:p>
    <w:p w:rsidR="00EB1EBD" w:rsidRPr="0011164A" w:rsidRDefault="00EB1EBD" w:rsidP="00E54BFD">
      <w:pPr>
        <w:spacing w:after="0" w:line="240" w:lineRule="auto"/>
        <w:jc w:val="left"/>
        <w:rPr>
          <w:b/>
          <w:sz w:val="23"/>
          <w:szCs w:val="23"/>
        </w:rPr>
      </w:pPr>
      <w:r w:rsidRPr="0011164A">
        <w:rPr>
          <w:b/>
          <w:sz w:val="23"/>
          <w:szCs w:val="23"/>
        </w:rPr>
        <w:t xml:space="preserve">Participation des courtiers de réassurance étrangers dans les traités ou cessions de réassurance du marché algérien des assurances </w:t>
      </w:r>
    </w:p>
    <w:p w:rsidR="00EB1EBD" w:rsidRPr="0011010E" w:rsidRDefault="00EB1EBD" w:rsidP="00EB1EBD">
      <w:pPr>
        <w:spacing w:after="0" w:line="240" w:lineRule="auto"/>
        <w:rPr>
          <w:sz w:val="20"/>
          <w:szCs w:val="20"/>
        </w:rPr>
      </w:pPr>
    </w:p>
    <w:p w:rsidR="00EB1EBD" w:rsidRPr="0011010E" w:rsidRDefault="00EB1EBD" w:rsidP="0011010E">
      <w:r w:rsidRPr="0011010E">
        <w:t>Les dispositions de l’ordonnance 95-07, modifiée et complétée, relative aux assurances sont complétées par un article 204 sexies.</w:t>
      </w:r>
    </w:p>
    <w:p w:rsidR="00EB1EBD" w:rsidRPr="0011010E" w:rsidRDefault="00EB1EBD" w:rsidP="0011010E">
      <w:r w:rsidRPr="0011010E">
        <w:t xml:space="preserve">Introduit par l’article 50 de la Loi de finances complémentaire pour 2010 (LFC 2010) , ce nouvel article conditionne la participation des courtiers de réassurance étrangers dans les traités ou cessions de réassurance du marché algérien des assurances, à l’obtention au préalable d’une autorisation d’exercice délivrée par la commission de supervision des assurances (CSA) et approuvée par décret exécutif. Il  Les courtiers de réassurance étrangers ayant obtenu l’autorisation sus citée sont portés sur une liste établie par la Commission de supervision des assurances et adressée aux sociétés d’assurance et/ou de réassurance agréées et aux succursales de sociétés d’assurance étrangères agréées en Algérie. </w:t>
      </w:r>
    </w:p>
    <w:p w:rsidR="00EB1EBD" w:rsidRPr="0011010E" w:rsidRDefault="00EB1EBD" w:rsidP="0011010E">
      <w:r w:rsidRPr="0011010E">
        <w:t xml:space="preserve">Un arrêté du ministre chargé des Finances, daté du </w:t>
      </w:r>
      <w:r w:rsidR="00C6672B">
        <w:t>2</w:t>
      </w:r>
      <w:r w:rsidRPr="0011010E">
        <w:t xml:space="preserve">9 </w:t>
      </w:r>
      <w:r w:rsidRPr="00C6672B">
        <w:t>octobre 201</w:t>
      </w:r>
      <w:r w:rsidR="00C6672B" w:rsidRPr="00C6672B">
        <w:t>0</w:t>
      </w:r>
      <w:r w:rsidRPr="0011010E">
        <w:t xml:space="preserve"> a précisé les modalités d’application de cette nouvelle disposition.</w:t>
      </w:r>
    </w:p>
    <w:p w:rsidR="00EB1EBD" w:rsidRPr="0011010E" w:rsidRDefault="00EB1EBD" w:rsidP="0011010E">
      <w:r w:rsidRPr="0011010E">
        <w:t>Publié sur le Journal Officiel n°74 du 05 décembre 2010, cet arrêté précise les conditions et modalités de participation des courtiers de réassurance étrangers dans des traités ou cessions de réassurance des sociétés d’assurance et/ou de réassurance agréées et des succursales de sociétés d’assurance étrangères agréées en Algérie.</w:t>
      </w:r>
    </w:p>
    <w:p w:rsidR="00EB1EBD" w:rsidRPr="0011010E" w:rsidRDefault="00EB1EBD" w:rsidP="0011010E">
      <w:r w:rsidRPr="0011010E">
        <w:t>Ainsi les courtiers de réassurance sont :</w:t>
      </w:r>
    </w:p>
    <w:p w:rsidR="00EB1EBD" w:rsidRPr="0011010E" w:rsidRDefault="0078447D" w:rsidP="0011010E">
      <w:pPr>
        <w:numPr>
          <w:ilvl w:val="0"/>
          <w:numId w:val="45"/>
        </w:numPr>
      </w:pPr>
      <w:r>
        <w:rPr>
          <w:rFonts w:cs="Calibri"/>
        </w:rPr>
        <w:t>s</w:t>
      </w:r>
      <w:r w:rsidR="00EB1EBD" w:rsidRPr="0011010E">
        <w:rPr>
          <w:rFonts w:cs="Calibri"/>
        </w:rPr>
        <w:t>oumis à une autorisation d’exercice</w:t>
      </w:r>
      <w:r w:rsidR="00EB1EBD" w:rsidRPr="0011010E">
        <w:t xml:space="preserve"> sur le marché algérien des assurances, délivrée par la Commission de supervision des assurances (art.2) et </w:t>
      </w:r>
      <w:r w:rsidR="00EB1EBD" w:rsidRPr="0011010E">
        <w:rPr>
          <w:rFonts w:cs="Calibri"/>
        </w:rPr>
        <w:t>accordée pour une période de trois (3) années renouvelable (art.6) </w:t>
      </w:r>
      <w:r w:rsidR="00EB1EBD" w:rsidRPr="0011010E">
        <w:t>;</w:t>
      </w:r>
    </w:p>
    <w:p w:rsidR="00EB1EBD" w:rsidRDefault="0078447D" w:rsidP="0011010E">
      <w:pPr>
        <w:numPr>
          <w:ilvl w:val="0"/>
          <w:numId w:val="45"/>
        </w:numPr>
      </w:pPr>
      <w:r>
        <w:rPr>
          <w:rFonts w:cs="Calibri"/>
        </w:rPr>
        <w:t>p</w:t>
      </w:r>
      <w:r w:rsidR="00EB1EBD" w:rsidRPr="0011010E">
        <w:rPr>
          <w:rFonts w:cs="Calibri"/>
        </w:rPr>
        <w:t>ortés sur une liste établie par la Commission de supervision des assurances et</w:t>
      </w:r>
      <w:r w:rsidR="00EB1EBD" w:rsidRPr="0011010E">
        <w:t xml:space="preserve"> transmise aux sociétés d’assurance et/ou de réassurance agréées et aux succursales de sociétés d’assurance étrangères agréées en Algérie.</w:t>
      </w:r>
    </w:p>
    <w:p w:rsidR="0011164A" w:rsidRDefault="0011164A" w:rsidP="0011164A">
      <w:pPr>
        <w:ind w:left="360"/>
      </w:pPr>
    </w:p>
    <w:p w:rsidR="0011164A" w:rsidRPr="0011010E" w:rsidRDefault="0011164A" w:rsidP="0011164A">
      <w:pPr>
        <w:ind w:left="360"/>
      </w:pPr>
    </w:p>
    <w:p w:rsidR="00EB1EBD" w:rsidRPr="0011010E" w:rsidRDefault="00EB1EBD" w:rsidP="00EB1EBD">
      <w:pPr>
        <w:spacing w:after="0" w:line="240" w:lineRule="auto"/>
        <w:ind w:left="720"/>
        <w:rPr>
          <w:sz w:val="20"/>
          <w:szCs w:val="20"/>
        </w:rPr>
      </w:pPr>
      <w:r w:rsidRPr="0011010E">
        <w:rPr>
          <w:rFonts w:cs="Calibri"/>
          <w:sz w:val="20"/>
          <w:szCs w:val="20"/>
        </w:rPr>
        <w:tab/>
      </w:r>
    </w:p>
    <w:p w:rsidR="00EB1EBD" w:rsidRPr="0011164A" w:rsidRDefault="00EB1EBD" w:rsidP="00E54BFD">
      <w:pPr>
        <w:spacing w:before="240" w:after="60" w:line="240" w:lineRule="auto"/>
        <w:jc w:val="left"/>
        <w:rPr>
          <w:b/>
          <w:sz w:val="23"/>
          <w:szCs w:val="23"/>
        </w:rPr>
      </w:pPr>
      <w:r w:rsidRPr="0011164A">
        <w:rPr>
          <w:b/>
          <w:sz w:val="23"/>
          <w:szCs w:val="23"/>
        </w:rPr>
        <w:t xml:space="preserve">Relèvement du taux de la cession obligatoire </w:t>
      </w:r>
    </w:p>
    <w:p w:rsidR="00EB1EBD" w:rsidRPr="0011010E" w:rsidRDefault="00EB1EBD" w:rsidP="0011010E">
      <w:pPr>
        <w:tabs>
          <w:tab w:val="left" w:pos="4130"/>
        </w:tabs>
        <w:autoSpaceDE w:val="0"/>
        <w:autoSpaceDN w:val="0"/>
        <w:adjustRightInd w:val="0"/>
        <w:jc w:val="lowKashida"/>
      </w:pPr>
      <w:r w:rsidRPr="0011010E">
        <w:t xml:space="preserve">Le décret exécutif n° 95-409  du 9 décembre 1995 relatif à la cession obligatoire en réassurance est modifié et complété par décret exécutif n°10-207 du 9 septembre 2010 paru au journal officiel N°53 du 15 septembre 2010. </w:t>
      </w:r>
    </w:p>
    <w:p w:rsidR="00EB1EBD" w:rsidRPr="0011010E" w:rsidRDefault="00EB1EBD" w:rsidP="0011010E">
      <w:pPr>
        <w:autoSpaceDE w:val="0"/>
        <w:autoSpaceDN w:val="0"/>
        <w:adjustRightInd w:val="0"/>
      </w:pPr>
      <w:r w:rsidRPr="0011010E">
        <w:rPr>
          <w:rFonts w:cs="Calibri"/>
        </w:rPr>
        <w:t>Ainsi, le taux minimum de la cession obligatoire des risques à réassurer est désormais fixé à 50%  de façon uniforme pour toutes les branches alors qu’il oscillait de 25 à 80% selon la nature des risques à réassurer.</w:t>
      </w:r>
    </w:p>
    <w:p w:rsidR="00EB1EBD" w:rsidRPr="0011010E" w:rsidRDefault="00EB1EBD" w:rsidP="0011010E">
      <w:pPr>
        <w:autoSpaceDE w:val="0"/>
        <w:autoSpaceDN w:val="0"/>
        <w:adjustRightInd w:val="0"/>
      </w:pPr>
      <w:r w:rsidRPr="0011010E">
        <w:rPr>
          <w:rFonts w:cs="Calibri"/>
        </w:rPr>
        <w:t>Cette obligatio</w:t>
      </w:r>
      <w:r w:rsidRPr="0011010E">
        <w:t xml:space="preserve">n s’opère au bénéfice de la Compagnie centrale de réassurance (art.3). </w:t>
      </w:r>
    </w:p>
    <w:p w:rsidR="00EB1EBD" w:rsidRPr="0011010E" w:rsidRDefault="00EB1EBD" w:rsidP="0011010E">
      <w:pPr>
        <w:tabs>
          <w:tab w:val="left" w:pos="4130"/>
        </w:tabs>
        <w:autoSpaceDE w:val="0"/>
        <w:autoSpaceDN w:val="0"/>
        <w:adjustRightInd w:val="0"/>
        <w:jc w:val="lowKashida"/>
      </w:pPr>
      <w:r w:rsidRPr="0011010E">
        <w:t>Le décret est également complété par un article « 5 bis » précisant que les conditions et les modalités de cession en réassurance peuvent être fixées, en tant que de besoin, par arrêté du ministre chargé des Finances.</w:t>
      </w:r>
    </w:p>
    <w:p w:rsidR="00EB1EBD" w:rsidRPr="0011010E" w:rsidRDefault="00EB1EBD" w:rsidP="00EB1EBD">
      <w:pPr>
        <w:tabs>
          <w:tab w:val="left" w:pos="4130"/>
        </w:tabs>
        <w:autoSpaceDE w:val="0"/>
        <w:autoSpaceDN w:val="0"/>
        <w:adjustRightInd w:val="0"/>
        <w:spacing w:line="240" w:lineRule="auto"/>
        <w:jc w:val="lowKashida"/>
        <w:rPr>
          <w:sz w:val="20"/>
          <w:szCs w:val="20"/>
        </w:rPr>
      </w:pPr>
    </w:p>
    <w:p w:rsidR="00EB1EBD" w:rsidRPr="00E54BFD" w:rsidRDefault="00EB1EBD" w:rsidP="00E54BFD">
      <w:pPr>
        <w:spacing w:before="240" w:after="60" w:line="240" w:lineRule="auto"/>
        <w:jc w:val="left"/>
        <w:rPr>
          <w:b/>
          <w:sz w:val="23"/>
          <w:szCs w:val="23"/>
        </w:rPr>
      </w:pPr>
      <w:r w:rsidRPr="00E54BFD">
        <w:rPr>
          <w:b/>
          <w:sz w:val="23"/>
          <w:szCs w:val="23"/>
        </w:rPr>
        <w:t xml:space="preserve">Financement du Fonds de garantie des assurés « F.G.A.S » </w:t>
      </w:r>
    </w:p>
    <w:p w:rsidR="00EB1EBD" w:rsidRPr="0011010E" w:rsidRDefault="00EB1EBD" w:rsidP="00E54BFD">
      <w:pPr>
        <w:tabs>
          <w:tab w:val="left" w:pos="4130"/>
        </w:tabs>
        <w:autoSpaceDE w:val="0"/>
        <w:autoSpaceDN w:val="0"/>
        <w:adjustRightInd w:val="0"/>
        <w:spacing w:line="240" w:lineRule="auto"/>
        <w:jc w:val="lowKashida"/>
        <w:rPr>
          <w:szCs w:val="20"/>
        </w:rPr>
      </w:pPr>
      <w:r w:rsidRPr="0011010E">
        <w:rPr>
          <w:sz w:val="20"/>
          <w:szCs w:val="20"/>
        </w:rPr>
        <w:t xml:space="preserve"> </w:t>
      </w:r>
      <w:r w:rsidRPr="0011010E">
        <w:rPr>
          <w:szCs w:val="20"/>
        </w:rPr>
        <w:t>Pris en application des dispositions de l’article 20 du décret n°09-111 du 7 avril 2009 fixant les modalités d'organisation et de fonctionnement ainsi que les conditions financières du Fonds de garantie des assurés par abréviation « F.G.A.S », l’arrêté  du 28 octobre 2009, publié sur le J.O. n° 5 du 20 Janvier 2010, fixe le taux de cotisation annuelle des sociétés d’assurance et/ou de réassurance et des succursales de sociétés d’assurance étrangères agréées au fonds de garantie des assurés ainsi que les modalités de son versement et le délai de son recouvrement. Ce taux est fixé, par l’article 2 de cet arrêté, à 0,25% des primes émises, nettes d’annulations, arrêtées au 31 décembre de l’exercice précédant l’exercice considéré. L’article 3 de ce même arrêté précise que cette cotisation doit être versée au compte ouvert, à cet effet, par le fonds de garantie des assurés et recouvrée, au plus tard, le 30 du mois de septembre de l’exercice considéré.</w:t>
      </w:r>
    </w:p>
    <w:p w:rsidR="00EB1EBD" w:rsidRPr="0011010E" w:rsidRDefault="00EB1EBD" w:rsidP="0011010E">
      <w:pPr>
        <w:rPr>
          <w:szCs w:val="20"/>
        </w:rPr>
      </w:pPr>
    </w:p>
    <w:p w:rsidR="00EB1EBD" w:rsidRPr="00E54BFD" w:rsidRDefault="00EB1EBD" w:rsidP="00E54BFD">
      <w:pPr>
        <w:spacing w:before="240" w:after="60" w:line="240" w:lineRule="auto"/>
        <w:jc w:val="left"/>
        <w:rPr>
          <w:b/>
          <w:sz w:val="23"/>
          <w:szCs w:val="23"/>
        </w:rPr>
      </w:pPr>
      <w:r w:rsidRPr="00E54BFD">
        <w:rPr>
          <w:b/>
          <w:sz w:val="23"/>
          <w:szCs w:val="23"/>
        </w:rPr>
        <w:t>Renforcement de la  lutte contre la fraude fiscale et financière</w:t>
      </w:r>
    </w:p>
    <w:p w:rsidR="00EB1EBD" w:rsidRPr="0011010E" w:rsidRDefault="00EB1EBD" w:rsidP="0011010E">
      <w:pPr>
        <w:rPr>
          <w:szCs w:val="20"/>
        </w:rPr>
      </w:pPr>
      <w:r w:rsidRPr="0011010E">
        <w:rPr>
          <w:szCs w:val="20"/>
        </w:rPr>
        <w:t xml:space="preserve">Publiée sur le Journal Officiel n°80 du 30 décembre 2010, la loi de finance 2011 consacre de nouvelles mesures de renforcement de la lutte contre toutes formes de fraudes fiscales et financières. Parmi ces mesures figure la disposition contenue  dans l’article 52 bis du Code des procédures fiscales (art.44.LF2011) qui instaure une  obligation de transmission  trimestrielle  à l’administration fiscale par les sociétés ou </w:t>
      </w:r>
      <w:r w:rsidR="00DB3E8E">
        <w:rPr>
          <w:szCs w:val="20"/>
        </w:rPr>
        <w:t>sociétés</w:t>
      </w:r>
      <w:r w:rsidRPr="0011010E">
        <w:rPr>
          <w:szCs w:val="20"/>
        </w:rPr>
        <w:t xml:space="preserve"> d’assurance et/ou de réassurance, les courtiers en assurance ainsi que tout organisme exerçant habituellement des activités d’assurance, d'un listing ou état des polices d'assurances souscrites, auprès de leurs agences, par les personnes physiques, morales et les entités administratives au profit de leur véhicules ou patrimoine immobilier. Ce listing spécial des polices est transmis, soit sur support informatique ou par voie électronique, dans les vingt (20) premiers jours du mois suivant le trimestre concerné, il doit comporter la désignation, le numéro d’identification fiscale et l’adresse de l’assureur, ainsi que les renseignements précis concernant le véhicule ou le bien immobilier, tels qu’ énumérés à l’article 52 ter du code des procédures fiscales (art.45.LF2011).</w:t>
      </w:r>
      <w:r w:rsidRPr="0011010E">
        <w:rPr>
          <w:szCs w:val="20"/>
        </w:rPr>
        <w:cr/>
      </w:r>
    </w:p>
    <w:p w:rsidR="00EB1EBD" w:rsidRDefault="00EB1EBD" w:rsidP="0011010E">
      <w:pPr>
        <w:rPr>
          <w:szCs w:val="20"/>
        </w:rPr>
      </w:pPr>
      <w:r w:rsidRPr="0011010E">
        <w:rPr>
          <w:szCs w:val="20"/>
        </w:rPr>
        <w:lastRenderedPageBreak/>
        <w:t xml:space="preserve">En cas de non respect des dispositions précédentes, les sociétés seront exposées à l’amende fiscale prévue par l’article 192-2 du code des impôts directs et taxes assimilées, autant de fois que des polices d’assurance ne sont pas déclarées.   </w:t>
      </w:r>
    </w:p>
    <w:p w:rsidR="00EB1EBD" w:rsidRPr="00E54BFD" w:rsidRDefault="00EB1EBD" w:rsidP="00E54BFD">
      <w:pPr>
        <w:spacing w:before="360" w:after="60" w:line="240" w:lineRule="auto"/>
        <w:jc w:val="left"/>
        <w:rPr>
          <w:b/>
          <w:sz w:val="23"/>
          <w:szCs w:val="23"/>
        </w:rPr>
      </w:pPr>
      <w:r w:rsidRPr="00E54BFD">
        <w:rPr>
          <w:b/>
          <w:sz w:val="23"/>
          <w:szCs w:val="23"/>
        </w:rPr>
        <w:t>Statut particulier des fonctionnaires appartenant aux corps spécifiques à l’administration du Trésor, de la comptabilité et des assurances</w:t>
      </w:r>
    </w:p>
    <w:p w:rsidR="00EB1EBD" w:rsidRPr="0011010E" w:rsidRDefault="00EB1EBD" w:rsidP="0011010E">
      <w:pPr>
        <w:rPr>
          <w:szCs w:val="20"/>
        </w:rPr>
      </w:pPr>
      <w:r w:rsidRPr="0011010E">
        <w:rPr>
          <w:szCs w:val="20"/>
        </w:rPr>
        <w:t>Publié sur le Journal Officiel n°74 du 05 décembre 2010, le décret exécutif n°10-298 du 29 novembre 2010 précise les dispositions particulières applicables aux corps spécifiques à l’administration du Trésor, de la comptabilité et des assurances et de fixer la nomenclature des corps ainsi que les conditions d’accès aux divers grades et emplois correspondant.</w:t>
      </w:r>
    </w:p>
    <w:p w:rsidR="00EB1EBD" w:rsidRPr="0011010E" w:rsidRDefault="00EB1EBD" w:rsidP="0011010E">
      <w:pPr>
        <w:rPr>
          <w:szCs w:val="20"/>
        </w:rPr>
      </w:pPr>
      <w:r w:rsidRPr="0011010E">
        <w:rPr>
          <w:szCs w:val="20"/>
        </w:rPr>
        <w:t xml:space="preserve">Bien que non citée dans les visas de ce texte, l’ordonnance 95-07, modifiée et complétée précise dans son article 212 que le contrôle des sociétés d’assurance et/ou de réassurance ainsi que celui des succursales d’assurance étrangères et des intermédiaires agréés est assuré par des </w:t>
      </w:r>
      <w:r w:rsidRPr="0011010E">
        <w:rPr>
          <w:b/>
          <w:szCs w:val="20"/>
        </w:rPr>
        <w:t>inspecteurs d’assurance assermentés soumis à un statut fixé par voie réglementaire.</w:t>
      </w:r>
    </w:p>
    <w:p w:rsidR="00EB1EBD" w:rsidRPr="0011010E" w:rsidRDefault="00EB1EBD" w:rsidP="0011010E">
      <w:pPr>
        <w:rPr>
          <w:szCs w:val="20"/>
        </w:rPr>
      </w:pPr>
      <w:r w:rsidRPr="0011010E">
        <w:rPr>
          <w:szCs w:val="20"/>
        </w:rPr>
        <w:t xml:space="preserve">Les articles 19, 20 et 21 du décret exécutif 10-298 précisent les missions dont sont chargés les  inspecteurs principaux, inspecteurs </w:t>
      </w:r>
      <w:r w:rsidR="008635F4" w:rsidRPr="0011010E">
        <w:rPr>
          <w:szCs w:val="20"/>
        </w:rPr>
        <w:t>centraux,</w:t>
      </w:r>
      <w:r w:rsidRPr="0011010E">
        <w:rPr>
          <w:szCs w:val="20"/>
        </w:rPr>
        <w:t xml:space="preserve"> inspecteurs divisionnaires et inspecteurs en chef ; notamment en matière de contrôle des acte</w:t>
      </w:r>
      <w:r w:rsidR="0078447D">
        <w:rPr>
          <w:szCs w:val="20"/>
        </w:rPr>
        <w:t>urs, de vérifications sur pièce</w:t>
      </w:r>
      <w:r w:rsidRPr="0011010E">
        <w:rPr>
          <w:szCs w:val="20"/>
        </w:rPr>
        <w:t>, de travaux d’expertise, d’orientation ou encore de mise en place de procédures de contrôle.</w:t>
      </w:r>
    </w:p>
    <w:p w:rsidR="00EB1EBD" w:rsidRPr="0011010E" w:rsidRDefault="00EB1EBD" w:rsidP="00EB1EBD">
      <w:pPr>
        <w:spacing w:after="0" w:line="240" w:lineRule="auto"/>
        <w:rPr>
          <w:rFonts w:cs="Tahoma"/>
          <w:b/>
          <w:sz w:val="20"/>
          <w:szCs w:val="20"/>
        </w:rPr>
      </w:pPr>
    </w:p>
    <w:p w:rsidR="00EB1EBD" w:rsidRPr="008D65D9" w:rsidRDefault="00EB1EBD" w:rsidP="008D65D9">
      <w:pPr>
        <w:pStyle w:val="Titre2"/>
      </w:pPr>
      <w:r w:rsidRPr="008D65D9">
        <w:t>Mouvement des acteurs</w:t>
      </w:r>
    </w:p>
    <w:p w:rsidR="00EB1EBD" w:rsidRPr="00C12AAA" w:rsidRDefault="00EB1EBD" w:rsidP="00C12AAA">
      <w:pPr>
        <w:shd w:val="clear" w:color="auto" w:fill="FFFFFF"/>
        <w:tabs>
          <w:tab w:val="left" w:pos="709"/>
          <w:tab w:val="left" w:pos="4130"/>
        </w:tabs>
        <w:jc w:val="lowKashida"/>
        <w:rPr>
          <w:szCs w:val="20"/>
        </w:rPr>
      </w:pPr>
      <w:r w:rsidRPr="00C12AAA">
        <w:rPr>
          <w:szCs w:val="20"/>
        </w:rPr>
        <w:t xml:space="preserve">La liste des courtiers d’assurance  a subi des modifications incluant de nouveaux agréments mais aussi des retraits,  portant le nombre de courtiers d’assurance au 31 décembre 2010 à vingt quatre(24). </w:t>
      </w:r>
    </w:p>
    <w:p w:rsidR="00EB1EBD" w:rsidRPr="0011010E" w:rsidRDefault="00EB1EBD" w:rsidP="00EB1EBD">
      <w:pPr>
        <w:shd w:val="clear" w:color="auto" w:fill="FFFFFF"/>
        <w:tabs>
          <w:tab w:val="left" w:pos="709"/>
          <w:tab w:val="left" w:pos="4130"/>
        </w:tabs>
        <w:spacing w:after="0" w:line="240" w:lineRule="auto"/>
        <w:jc w:val="lowKashida"/>
        <w:rPr>
          <w:sz w:val="20"/>
          <w:szCs w:val="20"/>
        </w:rPr>
      </w:pPr>
    </w:p>
    <w:p w:rsidR="00EB1EBD" w:rsidRPr="00C12AAA" w:rsidRDefault="00EB1EBD" w:rsidP="00E54BFD">
      <w:pPr>
        <w:spacing w:before="240" w:after="60" w:line="240" w:lineRule="auto"/>
        <w:jc w:val="left"/>
        <w:rPr>
          <w:b/>
          <w:szCs w:val="20"/>
        </w:rPr>
      </w:pPr>
      <w:r w:rsidRPr="00E54BFD">
        <w:rPr>
          <w:b/>
          <w:sz w:val="23"/>
          <w:szCs w:val="23"/>
        </w:rPr>
        <w:t>Nouveaux agréments</w:t>
      </w:r>
      <w:r w:rsidRPr="00C12AAA">
        <w:rPr>
          <w:b/>
          <w:szCs w:val="20"/>
        </w:rPr>
        <w:t xml:space="preserve"> </w:t>
      </w:r>
    </w:p>
    <w:p w:rsidR="00EB1EBD" w:rsidRPr="00C12AAA" w:rsidRDefault="00EB1EBD" w:rsidP="00C12AAA">
      <w:pPr>
        <w:shd w:val="clear" w:color="auto" w:fill="FFFFFF"/>
        <w:tabs>
          <w:tab w:val="left" w:pos="709"/>
          <w:tab w:val="left" w:pos="4130"/>
        </w:tabs>
        <w:jc w:val="lowKashida"/>
        <w:rPr>
          <w:szCs w:val="20"/>
        </w:rPr>
      </w:pPr>
      <w:r w:rsidRPr="00C12AAA">
        <w:rPr>
          <w:szCs w:val="20"/>
        </w:rPr>
        <w:t xml:space="preserve">Par arrêtés du 30 mai </w:t>
      </w:r>
      <w:r w:rsidR="00153850">
        <w:rPr>
          <w:szCs w:val="20"/>
        </w:rPr>
        <w:t>2010, publiés sur le JORA N° 41</w:t>
      </w:r>
      <w:r w:rsidRPr="00C12AAA">
        <w:rPr>
          <w:szCs w:val="20"/>
        </w:rPr>
        <w:t>, deux  (2) courtiers ont obtenu leur agrément pour exercer  l’activité de courtage d’assurance, il s’agit de  l’EURL «ASSA INSURACE BROKER» en qualité de société de courtage  d’assurance gérée par  M. Hamamouche Slimane et de M. Krimat Daoud en qualité de courtier d’assurance personne physique.</w:t>
      </w:r>
    </w:p>
    <w:p w:rsidR="00EB1EBD" w:rsidRPr="00C12AAA" w:rsidRDefault="00EB1EBD" w:rsidP="00C12AAA">
      <w:pPr>
        <w:shd w:val="clear" w:color="auto" w:fill="FFFFFF"/>
        <w:tabs>
          <w:tab w:val="left" w:pos="709"/>
          <w:tab w:val="left" w:pos="4130"/>
        </w:tabs>
        <w:jc w:val="lowKashida"/>
        <w:rPr>
          <w:szCs w:val="20"/>
        </w:rPr>
      </w:pPr>
      <w:r w:rsidRPr="00C12AAA">
        <w:rPr>
          <w:szCs w:val="20"/>
        </w:rPr>
        <w:t>Deux autres courtiers d’assurance (personnes physiques), Messieurs Hadid Rachid et Selloum  Merzoug  ont été agréés par  arrêtés du 30 septembre 2010 publiés sur le JORA N°65 du 31 octobre 2010.</w:t>
      </w:r>
    </w:p>
    <w:p w:rsidR="00EB1EBD" w:rsidRPr="0011010E" w:rsidRDefault="00EB1EBD" w:rsidP="00EB1EBD">
      <w:pPr>
        <w:shd w:val="clear" w:color="auto" w:fill="FFFFFF"/>
        <w:tabs>
          <w:tab w:val="left" w:pos="709"/>
          <w:tab w:val="left" w:pos="4130"/>
        </w:tabs>
        <w:spacing w:after="0" w:line="240" w:lineRule="auto"/>
        <w:jc w:val="lowKashida"/>
        <w:rPr>
          <w:sz w:val="20"/>
          <w:szCs w:val="20"/>
        </w:rPr>
      </w:pPr>
    </w:p>
    <w:p w:rsidR="00EB1EBD" w:rsidRPr="0011010E" w:rsidRDefault="00EB1EBD" w:rsidP="00E54BFD">
      <w:pPr>
        <w:spacing w:after="0" w:line="240" w:lineRule="auto"/>
        <w:jc w:val="left"/>
        <w:rPr>
          <w:b/>
          <w:sz w:val="20"/>
          <w:szCs w:val="20"/>
        </w:rPr>
      </w:pPr>
      <w:r w:rsidRPr="0011010E">
        <w:rPr>
          <w:sz w:val="20"/>
          <w:szCs w:val="20"/>
        </w:rPr>
        <w:t xml:space="preserve"> </w:t>
      </w:r>
      <w:r w:rsidRPr="00E54BFD">
        <w:rPr>
          <w:b/>
          <w:sz w:val="23"/>
          <w:szCs w:val="23"/>
        </w:rPr>
        <w:t>Modification d’agrément</w:t>
      </w:r>
    </w:p>
    <w:p w:rsidR="00EB1EBD" w:rsidRPr="00C12AAA" w:rsidRDefault="00EB1EBD" w:rsidP="00C12AAA">
      <w:pPr>
        <w:shd w:val="clear" w:color="auto" w:fill="FFFFFF"/>
        <w:tabs>
          <w:tab w:val="left" w:pos="709"/>
          <w:tab w:val="left" w:pos="4130"/>
        </w:tabs>
        <w:jc w:val="lowKashida"/>
        <w:rPr>
          <w:szCs w:val="20"/>
        </w:rPr>
      </w:pPr>
      <w:r w:rsidRPr="00C12AAA">
        <w:rPr>
          <w:szCs w:val="20"/>
        </w:rPr>
        <w:t xml:space="preserve">L’arrêté du 30 mai 2010 a apporté des modifications à la raison sociale de l’EURL « UNITED GLOBAL INSURANCE » en société à responsabilité limitée dénommée SARL « UNITED GLOBAL INSURANCE », en qualité de société de courtage d’assurance. </w:t>
      </w:r>
    </w:p>
    <w:p w:rsidR="00EB1EBD" w:rsidRDefault="00EB1EBD" w:rsidP="00C12AAA">
      <w:pPr>
        <w:shd w:val="clear" w:color="auto" w:fill="FFFFFF"/>
        <w:tabs>
          <w:tab w:val="left" w:pos="709"/>
          <w:tab w:val="left" w:pos="4130"/>
        </w:tabs>
        <w:jc w:val="lowKashida"/>
        <w:rPr>
          <w:szCs w:val="20"/>
        </w:rPr>
      </w:pPr>
      <w:r w:rsidRPr="00C12AAA">
        <w:rPr>
          <w:szCs w:val="20"/>
        </w:rPr>
        <w:t>De même, l’arrêté du 13 décembre 2010 a modifié la raison sociale de l’EURL « MAHER Assurance » en société à responsabilité limitée dénommée SARL  « MAHER Assurance »  gérée par M.BOUTRA Kouider.</w:t>
      </w:r>
    </w:p>
    <w:p w:rsidR="008D65D9" w:rsidRDefault="008D65D9" w:rsidP="00C12AAA">
      <w:pPr>
        <w:shd w:val="clear" w:color="auto" w:fill="FFFFFF"/>
        <w:tabs>
          <w:tab w:val="left" w:pos="709"/>
          <w:tab w:val="left" w:pos="4130"/>
        </w:tabs>
        <w:jc w:val="lowKashida"/>
        <w:rPr>
          <w:szCs w:val="20"/>
        </w:rPr>
      </w:pPr>
    </w:p>
    <w:p w:rsidR="008D65D9" w:rsidRPr="00C12AAA" w:rsidRDefault="008D65D9" w:rsidP="00C12AAA">
      <w:pPr>
        <w:shd w:val="clear" w:color="auto" w:fill="FFFFFF"/>
        <w:tabs>
          <w:tab w:val="left" w:pos="709"/>
          <w:tab w:val="left" w:pos="4130"/>
        </w:tabs>
        <w:jc w:val="lowKashida"/>
        <w:rPr>
          <w:szCs w:val="20"/>
        </w:rPr>
      </w:pPr>
    </w:p>
    <w:p w:rsidR="00EB1EBD" w:rsidRPr="00C12AAA" w:rsidRDefault="00EB1EBD" w:rsidP="00E54BFD">
      <w:pPr>
        <w:shd w:val="clear" w:color="auto" w:fill="FFFFFF"/>
        <w:tabs>
          <w:tab w:val="left" w:pos="709"/>
          <w:tab w:val="left" w:pos="4130"/>
        </w:tabs>
        <w:spacing w:before="120" w:after="60" w:line="240" w:lineRule="auto"/>
        <w:ind w:left="357"/>
        <w:jc w:val="lowKashida"/>
        <w:rPr>
          <w:b/>
          <w:szCs w:val="20"/>
        </w:rPr>
      </w:pPr>
      <w:r w:rsidRPr="00C12AAA">
        <w:rPr>
          <w:b/>
          <w:szCs w:val="20"/>
        </w:rPr>
        <w:lastRenderedPageBreak/>
        <w:t xml:space="preserve">Retraits d’agréments </w:t>
      </w:r>
    </w:p>
    <w:p w:rsidR="00EB1EBD" w:rsidRPr="00C12AAA" w:rsidRDefault="00EB1EBD" w:rsidP="00C12AAA">
      <w:pPr>
        <w:shd w:val="clear" w:color="auto" w:fill="FFFFFF"/>
        <w:tabs>
          <w:tab w:val="left" w:pos="709"/>
          <w:tab w:val="left" w:pos="4130"/>
        </w:tabs>
        <w:jc w:val="lowKashida"/>
        <w:rPr>
          <w:szCs w:val="20"/>
        </w:rPr>
      </w:pPr>
      <w:r w:rsidRPr="00C12AAA">
        <w:rPr>
          <w:szCs w:val="20"/>
        </w:rPr>
        <w:t xml:space="preserve">Par arrêté du 30 mai 2010 l’agrément a été retiré aux  courtiers suivants : </w:t>
      </w:r>
    </w:p>
    <w:p w:rsidR="00EB1EBD" w:rsidRPr="00C12AAA" w:rsidRDefault="00EB1EBD" w:rsidP="00C12AAA">
      <w:pPr>
        <w:numPr>
          <w:ilvl w:val="0"/>
          <w:numId w:val="48"/>
        </w:numPr>
        <w:shd w:val="clear" w:color="auto" w:fill="FFFFFF"/>
        <w:tabs>
          <w:tab w:val="left" w:pos="709"/>
          <w:tab w:val="left" w:pos="4130"/>
        </w:tabs>
        <w:jc w:val="lowKashida"/>
        <w:rPr>
          <w:szCs w:val="20"/>
        </w:rPr>
      </w:pPr>
      <w:r w:rsidRPr="00C12AAA">
        <w:rPr>
          <w:szCs w:val="20"/>
        </w:rPr>
        <w:t>M. Sakhri Mohamed Toufik ;</w:t>
      </w:r>
    </w:p>
    <w:p w:rsidR="00EB1EBD" w:rsidRPr="00C12AAA" w:rsidRDefault="00EB1EBD" w:rsidP="00C12AAA">
      <w:pPr>
        <w:numPr>
          <w:ilvl w:val="0"/>
          <w:numId w:val="48"/>
        </w:numPr>
        <w:shd w:val="clear" w:color="auto" w:fill="FFFFFF"/>
        <w:tabs>
          <w:tab w:val="left" w:pos="709"/>
          <w:tab w:val="left" w:pos="4130"/>
        </w:tabs>
        <w:jc w:val="lowKashida"/>
        <w:rPr>
          <w:szCs w:val="20"/>
        </w:rPr>
      </w:pPr>
      <w:r w:rsidRPr="00C12AAA">
        <w:rPr>
          <w:szCs w:val="20"/>
        </w:rPr>
        <w:t>Eurl NIAR GLOBAL CONSULTING (gérée par M NIAR Mouloud) ;</w:t>
      </w:r>
    </w:p>
    <w:p w:rsidR="00EB1EBD" w:rsidRPr="00C12AAA" w:rsidRDefault="00EB1EBD" w:rsidP="00C12AAA">
      <w:pPr>
        <w:numPr>
          <w:ilvl w:val="0"/>
          <w:numId w:val="48"/>
        </w:numPr>
        <w:shd w:val="clear" w:color="auto" w:fill="FFFFFF"/>
        <w:tabs>
          <w:tab w:val="left" w:pos="709"/>
          <w:tab w:val="left" w:pos="4130"/>
        </w:tabs>
        <w:jc w:val="lowKashida"/>
        <w:rPr>
          <w:szCs w:val="20"/>
          <w:lang w:val="en-US"/>
        </w:rPr>
      </w:pPr>
      <w:r w:rsidRPr="00C12AAA">
        <w:rPr>
          <w:szCs w:val="20"/>
          <w:lang w:val="en-US"/>
        </w:rPr>
        <w:t xml:space="preserve">Eurl GENERAL GOLDEN </w:t>
      </w:r>
      <w:r w:rsidR="00AF341A" w:rsidRPr="00C12AAA">
        <w:rPr>
          <w:szCs w:val="20"/>
          <w:lang w:val="en-US"/>
        </w:rPr>
        <w:t>INSURANCE (</w:t>
      </w:r>
      <w:r w:rsidRPr="00C12AAA">
        <w:rPr>
          <w:szCs w:val="20"/>
          <w:lang w:val="en-US"/>
        </w:rPr>
        <w:t>gérée par HATTAB Rachid).</w:t>
      </w:r>
    </w:p>
    <w:p w:rsidR="00EB1EBD" w:rsidRPr="00C05E91" w:rsidRDefault="00EB1EBD" w:rsidP="00C05E91">
      <w:pPr>
        <w:pStyle w:val="TM1"/>
        <w:tabs>
          <w:tab w:val="right" w:leader="dot" w:pos="9628"/>
        </w:tabs>
        <w:rPr>
          <w:rFonts w:ascii="Trebuchet MS" w:hAnsi="Trebuchet MS" w:cs="Tahoma"/>
          <w:bCs w:val="0"/>
          <w:caps w:val="0"/>
          <w:sz w:val="28"/>
        </w:rPr>
      </w:pPr>
      <w:bookmarkStart w:id="109" w:name="_Toc109033089"/>
      <w:r w:rsidRPr="00C05E91">
        <w:rPr>
          <w:rFonts w:ascii="Trebuchet MS" w:hAnsi="Trebuchet MS" w:cs="Tahoma"/>
          <w:bCs w:val="0"/>
          <w:caps w:val="0"/>
          <w:sz w:val="28"/>
        </w:rPr>
        <w:t xml:space="preserve">Évolution de  l’offre </w:t>
      </w:r>
      <w:bookmarkEnd w:id="109"/>
      <w:r w:rsidRPr="00C05E91">
        <w:rPr>
          <w:rFonts w:ascii="Trebuchet MS" w:hAnsi="Trebuchet MS" w:cs="Tahoma"/>
          <w:bCs w:val="0"/>
          <w:caps w:val="0"/>
          <w:sz w:val="28"/>
        </w:rPr>
        <w:t xml:space="preserve">d’assurance </w:t>
      </w:r>
    </w:p>
    <w:p w:rsidR="00EB1EBD" w:rsidRPr="00C12AAA" w:rsidRDefault="00EB1EBD" w:rsidP="00EB1EBD">
      <w:pPr>
        <w:rPr>
          <w:rFonts w:cs="Calibri"/>
          <w:bCs/>
          <w:color w:val="000000"/>
          <w:szCs w:val="20"/>
        </w:rPr>
      </w:pPr>
      <w:r w:rsidRPr="00C12AAA">
        <w:rPr>
          <w:rFonts w:cs="Calibri"/>
          <w:bCs/>
          <w:color w:val="000000"/>
          <w:szCs w:val="20"/>
        </w:rPr>
        <w:t>Sur les huit (08) visas sur  conditions générales accordés par la direction des assurances au cours de l’année 2010, quatre (4) concernent les assurances agricoles, trois (3) les assurances dommages aux biens et un seul produit d’assurance de personnes.</w:t>
      </w:r>
    </w:p>
    <w:p w:rsidR="00EB1EBD" w:rsidRPr="00C12AAA" w:rsidRDefault="00EB1EBD" w:rsidP="00EB1EBD">
      <w:pPr>
        <w:rPr>
          <w:rFonts w:cs="Calibri"/>
          <w:bCs/>
          <w:color w:val="000000"/>
          <w:szCs w:val="20"/>
        </w:rPr>
      </w:pPr>
      <w:r w:rsidRPr="00C12AAA">
        <w:rPr>
          <w:rFonts w:cs="Calibri"/>
          <w:bCs/>
          <w:color w:val="000000"/>
          <w:szCs w:val="20"/>
        </w:rPr>
        <w:t xml:space="preserve">Incontestablement, l’année 2010 est marquée par le premier visa accordé par la direction des assurances à l’UAR pour le compte de l’ensemble des sociétés d’assurance. En effet, suite à un accord intervenu à l’initiative du réassureur national (CCR), </w:t>
      </w:r>
      <w:r w:rsidRPr="00027E30">
        <w:rPr>
          <w:rFonts w:cs="Calibri"/>
          <w:bCs/>
          <w:color w:val="000000"/>
          <w:szCs w:val="20"/>
        </w:rPr>
        <w:t>les assureurs algériens ont  mis en place au cours du second semestre 2009 un pool de coassurance relatif à la RC décennale qui bénéficie d’une couverture en réassurance auprès de la CCR par le biais d’un traité. Ainsi, l’ensemble des assureurs sont intéressés par toute souscription d’un contrat RC décennale</w:t>
      </w:r>
      <w:r w:rsidRPr="00C12AAA">
        <w:rPr>
          <w:rFonts w:cs="Calibri"/>
          <w:bCs/>
          <w:color w:val="000000"/>
          <w:szCs w:val="20"/>
        </w:rPr>
        <w:t>.</w:t>
      </w:r>
    </w:p>
    <w:p w:rsidR="00EB1EBD" w:rsidRPr="00C12AAA" w:rsidRDefault="00EB1EBD" w:rsidP="00EB1EBD">
      <w:pPr>
        <w:rPr>
          <w:rFonts w:cs="Calibri"/>
          <w:bCs/>
          <w:color w:val="000000"/>
          <w:szCs w:val="20"/>
        </w:rPr>
      </w:pPr>
      <w:r w:rsidRPr="00C12AAA">
        <w:rPr>
          <w:rFonts w:cs="Calibri"/>
          <w:bCs/>
          <w:color w:val="000000"/>
          <w:szCs w:val="20"/>
        </w:rPr>
        <w:t xml:space="preserve">De son coté, la CNMA s’est distinguée par sa volonté de mettre sur le marché, le premier produit d’assurance couvrant la sécheresse sur céréales. En effet, « l’assurance intégrale des céréales » qui a obtenu le visa de la direction des assurances en septembre 2010 vise une couverture globale (grêle, incendie et sécheresse) des cultures céréalières. La commercialisation de ce produit se heurte cependant à des difficultés liées à son coût trop élevé pour la bourse des agriculteurs. </w:t>
      </w:r>
    </w:p>
    <w:p w:rsidR="00EB1EBD" w:rsidRPr="00C12AAA" w:rsidRDefault="00EB1EBD" w:rsidP="00EB1EBD">
      <w:pPr>
        <w:rPr>
          <w:rFonts w:cs="Calibri"/>
          <w:bCs/>
          <w:color w:val="000000"/>
          <w:szCs w:val="20"/>
        </w:rPr>
      </w:pPr>
      <w:r w:rsidRPr="00C12AAA">
        <w:rPr>
          <w:rFonts w:cs="Calibri"/>
          <w:bCs/>
          <w:color w:val="000000"/>
          <w:szCs w:val="20"/>
        </w:rPr>
        <w:t xml:space="preserve">La CNMA a également obtenu deux autres visas sur des produits multi périls oliviers et vignes tandis que la SAA propose une assurance multirisques cultures légumières. </w:t>
      </w:r>
    </w:p>
    <w:p w:rsidR="00EB1EBD" w:rsidRPr="00E603AD" w:rsidRDefault="00EB1EBD" w:rsidP="00EB1EBD">
      <w:pPr>
        <w:shd w:val="clear" w:color="auto" w:fill="FFFFFF"/>
        <w:tabs>
          <w:tab w:val="left" w:pos="709"/>
          <w:tab w:val="left" w:pos="4130"/>
        </w:tabs>
        <w:spacing w:after="0" w:line="240" w:lineRule="auto"/>
        <w:jc w:val="lowKashida"/>
        <w:rPr>
          <w:rFonts w:cs="Calibri"/>
          <w:sz w:val="20"/>
          <w:szCs w:val="20"/>
        </w:rPr>
      </w:pPr>
    </w:p>
    <w:p w:rsidR="00EB1EBD" w:rsidRPr="008D2996" w:rsidRDefault="00EB1EBD" w:rsidP="00EB1EBD">
      <w:pPr>
        <w:rPr>
          <w:highlight w:val="yellow"/>
        </w:rPr>
        <w:sectPr w:rsidR="00EB1EBD" w:rsidRPr="008D2996" w:rsidSect="004F6626">
          <w:footnotePr>
            <w:numRestart w:val="eachPage"/>
          </w:footnotePr>
          <w:type w:val="nextColumn"/>
          <w:pgSz w:w="11906" w:h="16838" w:code="9"/>
          <w:pgMar w:top="1871" w:right="1134" w:bottom="1304" w:left="1134" w:header="709" w:footer="709" w:gutter="0"/>
          <w:cols w:space="708"/>
          <w:docGrid w:linePitch="360"/>
        </w:sectPr>
      </w:pPr>
    </w:p>
    <w:p w:rsidR="00EB1EBD" w:rsidRPr="008D2996" w:rsidRDefault="00EB1EBD" w:rsidP="00EB1EBD">
      <w:pPr>
        <w:spacing w:after="240"/>
        <w:rPr>
          <w:b/>
          <w:bCs/>
          <w:color w:val="000000"/>
          <w:highlight w:val="yellow"/>
        </w:rPr>
      </w:pPr>
    </w:p>
    <w:p w:rsidR="00EB1EBD" w:rsidRPr="008D2996" w:rsidRDefault="005D6003" w:rsidP="00BF5049">
      <w:pPr>
        <w:pStyle w:val="Titre1"/>
        <w:ind w:left="567"/>
        <w:jc w:val="center"/>
        <w:rPr>
          <w:b w:val="0"/>
          <w:bCs w:val="0"/>
          <w:caps w:val="0"/>
        </w:rPr>
      </w:pPr>
      <w:bookmarkStart w:id="110" w:name="_Toc327916511"/>
      <w:bookmarkStart w:id="111" w:name="_Toc71847693"/>
      <w:bookmarkStart w:id="112" w:name="_Toc71851541"/>
      <w:bookmarkStart w:id="113" w:name="_Toc71851658"/>
      <w:r>
        <w:rPr>
          <w:b w:val="0"/>
          <w:bCs w:val="0"/>
          <w:caps w:val="0"/>
          <w:sz w:val="44"/>
        </w:rPr>
        <w:t>3</w:t>
      </w:r>
      <w:r w:rsidR="00E45768" w:rsidRPr="00E45768">
        <w:rPr>
          <w:sz w:val="44"/>
        </w:rPr>
        <w:t xml:space="preserve">° </w:t>
      </w:r>
      <w:r w:rsidR="00E45768" w:rsidRPr="00E45768">
        <w:rPr>
          <w:noProof/>
          <w:sz w:val="44"/>
        </w:rPr>
        <w:t>Chapitre </w:t>
      </w:r>
      <w:r w:rsidR="00E45768" w:rsidRPr="00E45768">
        <w:rPr>
          <w:sz w:val="44"/>
        </w:rPr>
        <w:t>: La production en 2010</w:t>
      </w:r>
      <w:bookmarkEnd w:id="110"/>
    </w:p>
    <w:bookmarkEnd w:id="111"/>
    <w:bookmarkEnd w:id="112"/>
    <w:bookmarkEnd w:id="113"/>
    <w:p w:rsidR="00EB1EBD" w:rsidRPr="008D2996" w:rsidRDefault="00EB1EBD" w:rsidP="009521FF">
      <w:pPr>
        <w:pStyle w:val="TM3"/>
      </w:pPr>
    </w:p>
    <w:p w:rsidR="00EB1EBD" w:rsidRPr="008D2996" w:rsidRDefault="00EB1EBD" w:rsidP="00EB1EBD">
      <w:pPr>
        <w:pStyle w:val="Titre"/>
        <w:spacing w:after="0" w:line="240" w:lineRule="auto"/>
        <w:jc w:val="left"/>
        <w:rPr>
          <w:highlight w:val="yellow"/>
        </w:rPr>
        <w:sectPr w:rsidR="00EB1EBD" w:rsidRPr="008D2996" w:rsidSect="004F6626">
          <w:footnotePr>
            <w:numStart w:val="2"/>
          </w:footnotePr>
          <w:type w:val="nextColumn"/>
          <w:pgSz w:w="11906" w:h="16838" w:code="9"/>
          <w:pgMar w:top="1871" w:right="1134" w:bottom="1304" w:left="1134" w:header="709" w:footer="709" w:gutter="0"/>
          <w:cols w:space="708"/>
          <w:vAlign w:val="center"/>
          <w:docGrid w:linePitch="360"/>
        </w:sectPr>
      </w:pPr>
    </w:p>
    <w:p w:rsidR="00EB1EBD" w:rsidRPr="008D2996" w:rsidRDefault="00EB1EBD" w:rsidP="0060275F">
      <w:pPr>
        <w:pStyle w:val="Titre"/>
        <w:spacing w:after="0" w:line="240" w:lineRule="auto"/>
        <w:jc w:val="left"/>
        <w:outlineLvl w:val="0"/>
      </w:pPr>
      <w:bookmarkStart w:id="114" w:name="_Toc326155976"/>
      <w:bookmarkStart w:id="115" w:name="_Toc327916512"/>
      <w:r w:rsidRPr="00E74A46">
        <w:lastRenderedPageBreak/>
        <w:t>Présentation</w:t>
      </w:r>
      <w:bookmarkEnd w:id="114"/>
      <w:bookmarkEnd w:id="115"/>
    </w:p>
    <w:p w:rsidR="00EB1EBD" w:rsidRPr="008D2996" w:rsidRDefault="00EB1EBD" w:rsidP="00EB1EBD">
      <w:pPr>
        <w:pStyle w:val="Titre2"/>
      </w:pPr>
      <w:bookmarkStart w:id="116" w:name="_Toc326155977"/>
      <w:bookmarkStart w:id="117" w:name="_Toc327883416"/>
      <w:bookmarkStart w:id="118" w:name="_Toc327883596"/>
      <w:bookmarkStart w:id="119" w:name="_Toc327883940"/>
      <w:bookmarkStart w:id="120" w:name="_Toc327885002"/>
      <w:bookmarkStart w:id="121" w:name="_Toc327885586"/>
      <w:bookmarkStart w:id="122" w:name="_Toc327916513"/>
      <w:r w:rsidRPr="00E74A46">
        <w:t>Synthèse</w:t>
      </w:r>
      <w:bookmarkEnd w:id="116"/>
      <w:bookmarkEnd w:id="117"/>
      <w:bookmarkEnd w:id="118"/>
      <w:bookmarkEnd w:id="119"/>
      <w:bookmarkEnd w:id="120"/>
      <w:bookmarkEnd w:id="121"/>
      <w:bookmarkEnd w:id="122"/>
      <w:r w:rsidRPr="00E74A46">
        <w:t> </w:t>
      </w:r>
    </w:p>
    <w:p w:rsidR="00EB1EBD" w:rsidRPr="00975FAD" w:rsidRDefault="00EB1EBD" w:rsidP="00EB1EBD">
      <w:pPr>
        <w:spacing w:before="120" w:line="288" w:lineRule="auto"/>
        <w:rPr>
          <w:rFonts w:cs="Arial"/>
        </w:rPr>
      </w:pPr>
      <w:r w:rsidRPr="00975FAD">
        <w:rPr>
          <w:rFonts w:cs="Arial"/>
        </w:rPr>
        <w:t xml:space="preserve">Le chiffre d’affaires du secteur des assurances atteint, au 31 décembre 2010, un total de 81,7 </w:t>
      </w:r>
      <w:r w:rsidR="009135A6">
        <w:rPr>
          <w:rFonts w:cs="Arial"/>
        </w:rPr>
        <w:t>milliard</w:t>
      </w:r>
      <w:r w:rsidRPr="00975FAD">
        <w:rPr>
          <w:rFonts w:cs="Arial"/>
        </w:rPr>
        <w:t xml:space="preserve"> de dinars, soit une évolution de 4</w:t>
      </w:r>
      <w:r w:rsidR="002F742F">
        <w:rPr>
          <w:rFonts w:cs="Arial"/>
        </w:rPr>
        <w:t>,2</w:t>
      </w:r>
      <w:r w:rsidRPr="00975FAD">
        <w:rPr>
          <w:rFonts w:cs="Arial"/>
        </w:rPr>
        <w:t>% par rapport à 2009, en baisse comparativement à celle de l’année précédente (14</w:t>
      </w:r>
      <w:r w:rsidR="00C32A1E">
        <w:rPr>
          <w:rFonts w:cs="Arial"/>
        </w:rPr>
        <w:t>,2</w:t>
      </w:r>
      <w:r w:rsidRPr="00975FAD">
        <w:rPr>
          <w:rFonts w:cs="Arial"/>
        </w:rPr>
        <w:t>%). Cette croissance est générée principalement par la branche « </w:t>
      </w:r>
      <w:r w:rsidR="00C32A1E">
        <w:rPr>
          <w:rFonts w:cs="Arial"/>
        </w:rPr>
        <w:t>a</w:t>
      </w:r>
      <w:r w:rsidRPr="00975FAD">
        <w:rPr>
          <w:rFonts w:cs="Arial"/>
        </w:rPr>
        <w:t>utomobile » (12,</w:t>
      </w:r>
      <w:r w:rsidR="007C4FF5">
        <w:rPr>
          <w:rFonts w:cs="Arial"/>
        </w:rPr>
        <w:t>2</w:t>
      </w:r>
      <w:r w:rsidRPr="00975FAD">
        <w:rPr>
          <w:rFonts w:cs="Arial"/>
        </w:rPr>
        <w:t>%).</w:t>
      </w:r>
    </w:p>
    <w:p w:rsidR="00EB1EBD" w:rsidRPr="00975FAD" w:rsidRDefault="00EB1EBD" w:rsidP="00EB1EBD">
      <w:pPr>
        <w:spacing w:before="120" w:line="288" w:lineRule="auto"/>
        <w:rPr>
          <w:rFonts w:cs="Arial"/>
        </w:rPr>
      </w:pPr>
      <w:r w:rsidRPr="00975FAD">
        <w:rPr>
          <w:rFonts w:cs="Arial"/>
        </w:rPr>
        <w:t xml:space="preserve">Durant cette année, les </w:t>
      </w:r>
      <w:r w:rsidR="00894A5D">
        <w:rPr>
          <w:rFonts w:cs="Arial"/>
        </w:rPr>
        <w:t xml:space="preserve">sociétés </w:t>
      </w:r>
      <w:r w:rsidRPr="00975FAD">
        <w:rPr>
          <w:rFonts w:cs="Arial"/>
        </w:rPr>
        <w:t xml:space="preserve"> traditionnelles</w:t>
      </w:r>
      <w:r w:rsidRPr="00975FAD">
        <w:rPr>
          <w:rFonts w:cs="Arial"/>
          <w:vertAlign w:val="superscript"/>
        </w:rPr>
        <w:footnoteReference w:id="11"/>
      </w:r>
      <w:r w:rsidRPr="00975FAD">
        <w:rPr>
          <w:rFonts w:cs="Arial"/>
        </w:rPr>
        <w:t xml:space="preserve"> dominent toujours le marché avec </w:t>
      </w:r>
      <w:r w:rsidR="005668D7">
        <w:rPr>
          <w:rFonts w:cs="Arial"/>
        </w:rPr>
        <w:t>64,6</w:t>
      </w:r>
      <w:r w:rsidRPr="00975FAD">
        <w:rPr>
          <w:rFonts w:cs="Arial"/>
        </w:rPr>
        <w:t>% de la production globale. La SAA est en pôle position avec 24,</w:t>
      </w:r>
      <w:r w:rsidR="00EE4B84">
        <w:rPr>
          <w:rFonts w:cs="Arial"/>
        </w:rPr>
        <w:t>6</w:t>
      </w:r>
      <w:r w:rsidRPr="00975FAD">
        <w:rPr>
          <w:rFonts w:cs="Arial"/>
        </w:rPr>
        <w:t>%, suivie de la CAAT avec 17,2%, et en troisième position la CAAR avec 15,7%.</w:t>
      </w:r>
    </w:p>
    <w:p w:rsidR="00EB1EBD" w:rsidRPr="00975FAD" w:rsidRDefault="00EB1EBD" w:rsidP="00EB1EBD">
      <w:pPr>
        <w:spacing w:before="120" w:line="288" w:lineRule="auto"/>
        <w:rPr>
          <w:rFonts w:cs="Arial"/>
          <w:szCs w:val="20"/>
        </w:rPr>
      </w:pPr>
      <w:r w:rsidRPr="00975FAD">
        <w:rPr>
          <w:rFonts w:cs="Arial"/>
          <w:szCs w:val="20"/>
        </w:rPr>
        <w:t>Les  branches « automobile » et « IRD » arrivent toujours en tête avec des parts dans la production globale de 48,5% et 32,</w:t>
      </w:r>
      <w:r w:rsidR="0050061C">
        <w:rPr>
          <w:rFonts w:cs="Arial"/>
          <w:szCs w:val="20"/>
        </w:rPr>
        <w:t>4</w:t>
      </w:r>
      <w:r w:rsidRPr="00975FAD">
        <w:rPr>
          <w:rFonts w:cs="Arial"/>
          <w:szCs w:val="20"/>
        </w:rPr>
        <w:t>% respectivement.</w:t>
      </w:r>
    </w:p>
    <w:p w:rsidR="00EB1EBD" w:rsidRPr="00975FAD" w:rsidRDefault="00EB1EBD" w:rsidP="00EB1EBD">
      <w:pPr>
        <w:spacing w:before="120" w:line="288" w:lineRule="auto"/>
        <w:rPr>
          <w:rFonts w:cs="Arial"/>
        </w:rPr>
      </w:pPr>
      <w:r w:rsidRPr="00975FAD">
        <w:rPr>
          <w:rFonts w:cs="Arial"/>
        </w:rPr>
        <w:t xml:space="preserve">Du point de vue de la répartition du marché entre les </w:t>
      </w:r>
      <w:r w:rsidR="00D51E57">
        <w:rPr>
          <w:rFonts w:cs="Arial"/>
        </w:rPr>
        <w:t>sociétés</w:t>
      </w:r>
      <w:r w:rsidRPr="00975FAD">
        <w:rPr>
          <w:rFonts w:cs="Arial"/>
        </w:rPr>
        <w:t>, la prédominance est encore publique</w:t>
      </w:r>
      <w:r w:rsidRPr="00975FAD">
        <w:rPr>
          <w:rFonts w:cs="Arial"/>
          <w:vertAlign w:val="superscript"/>
        </w:rPr>
        <w:footnoteReference w:id="12"/>
      </w:r>
      <w:r w:rsidRPr="00975FAD">
        <w:rPr>
          <w:rFonts w:cs="Arial"/>
        </w:rPr>
        <w:t xml:space="preserve"> et parapublique</w:t>
      </w:r>
      <w:r w:rsidRPr="00975FAD">
        <w:rPr>
          <w:rFonts w:cs="Arial"/>
          <w:vertAlign w:val="superscript"/>
        </w:rPr>
        <w:footnoteReference w:id="13"/>
      </w:r>
      <w:r w:rsidRPr="00975FAD">
        <w:rPr>
          <w:rFonts w:cs="Arial"/>
        </w:rPr>
        <w:t xml:space="preserve"> avec prés de 73,7%. </w:t>
      </w:r>
    </w:p>
    <w:p w:rsidR="00491492" w:rsidRPr="00975FAD" w:rsidRDefault="00EB1EBD" w:rsidP="00EB1EBD">
      <w:pPr>
        <w:spacing w:before="120" w:line="288" w:lineRule="auto"/>
        <w:rPr>
          <w:rFonts w:cs="Arial"/>
        </w:rPr>
      </w:pPr>
      <w:r w:rsidRPr="00975FAD">
        <w:rPr>
          <w:rFonts w:cs="Arial"/>
        </w:rPr>
        <w:t xml:space="preserve">Rapportée au PIB ou à la population, la production demeure faible par rapport à celle des autres marchés : le taux de pénétration qui est de l’ordre  de 0,67% en 2010 et la densité qui est de 30 $ demeurent très bas. </w:t>
      </w:r>
    </w:p>
    <w:p w:rsidR="00EB1EBD" w:rsidRPr="008D2996" w:rsidRDefault="00EB1EBD" w:rsidP="00C23F8E">
      <w:pPr>
        <w:pStyle w:val="Titre2"/>
        <w:spacing w:after="120"/>
      </w:pPr>
      <w:bookmarkStart w:id="123" w:name="_Toc326155978"/>
      <w:bookmarkStart w:id="124" w:name="_Toc327883417"/>
      <w:bookmarkStart w:id="125" w:name="_Toc327883597"/>
      <w:bookmarkStart w:id="126" w:name="_Toc327883941"/>
      <w:bookmarkStart w:id="127" w:name="_Toc327885003"/>
      <w:bookmarkStart w:id="128" w:name="_Toc327885587"/>
      <w:bookmarkStart w:id="129" w:name="_Toc327916514"/>
      <w:r w:rsidRPr="00E74A46">
        <w:t>Configuration du secteur en 2010</w:t>
      </w:r>
      <w:bookmarkEnd w:id="123"/>
      <w:bookmarkEnd w:id="124"/>
      <w:bookmarkEnd w:id="125"/>
      <w:bookmarkEnd w:id="126"/>
      <w:bookmarkEnd w:id="127"/>
      <w:bookmarkEnd w:id="128"/>
      <w:bookmarkEnd w:id="129"/>
    </w:p>
    <w:p w:rsidR="00EB1EBD" w:rsidRPr="00975FAD" w:rsidRDefault="00EB1EBD" w:rsidP="00EB1EBD">
      <w:r w:rsidRPr="00975FAD">
        <w:t>Le secteur algérien des assurances économiques, constitué de 16 sociétés, se présente comme suit :</w:t>
      </w:r>
    </w:p>
    <w:p w:rsidR="00EB1EBD" w:rsidRPr="00975FAD" w:rsidRDefault="00EB1EBD" w:rsidP="00EB1EBD">
      <w:pPr>
        <w:numPr>
          <w:ilvl w:val="0"/>
          <w:numId w:val="13"/>
        </w:numPr>
      </w:pPr>
      <w:r w:rsidRPr="00975FAD">
        <w:t>les quatre sociétés publiques d’assurance directe agréées pour pratiquer l’ensemble des branches y compris la réassurance : Société Nationale d’Assurance (SAA), Compagnie Algérienne d’Assurance et de Réassurance  (CAAR), Compagnie Algérienne d’Assurance et de Réassurance  (CAAT) et Compagnie Algérienne d’Assurance des Hydrocarbures  (CASH) ;</w:t>
      </w:r>
    </w:p>
    <w:p w:rsidR="00EB1EBD" w:rsidRPr="00975FAD" w:rsidRDefault="00D4424F" w:rsidP="00EB1EBD">
      <w:pPr>
        <w:numPr>
          <w:ilvl w:val="0"/>
          <w:numId w:val="13"/>
        </w:numPr>
      </w:pPr>
      <w:r w:rsidRPr="00975FAD">
        <w:t>l</w:t>
      </w:r>
      <w:r w:rsidR="00EB1EBD" w:rsidRPr="00975FAD">
        <w:t xml:space="preserve">a </w:t>
      </w:r>
      <w:r w:rsidRPr="00975FAD">
        <w:t>société</w:t>
      </w:r>
      <w:r w:rsidR="00EB1EBD" w:rsidRPr="00975FAD">
        <w:t xml:space="preserve"> publique de réassurance seule sur le marché de la réassurance et des acceptations internationales : la Compagnie Centrale de Réassurance (CCR) ;</w:t>
      </w:r>
    </w:p>
    <w:p w:rsidR="00EB1EBD" w:rsidRPr="00975FAD" w:rsidRDefault="00EB1EBD" w:rsidP="00EB1EBD">
      <w:pPr>
        <w:numPr>
          <w:ilvl w:val="0"/>
          <w:numId w:val="13"/>
        </w:numPr>
      </w:pPr>
      <w:r w:rsidRPr="00975FAD">
        <w:t>deux mutuelles d’assurance : la Caisse Nationale de Mutualité Agricole  (CNMA) pour les  agriculteurs et la  Mutuelle Algérienne d’Assurance des Travailleurs de l’Education et de la Culture (MAATEC) pour les travailleurs de l’Education Nationale et la culture ;</w:t>
      </w:r>
    </w:p>
    <w:p w:rsidR="00EB1EBD" w:rsidRPr="00975FAD" w:rsidRDefault="00EB1EBD" w:rsidP="00EB1EBD">
      <w:pPr>
        <w:numPr>
          <w:ilvl w:val="0"/>
          <w:numId w:val="13"/>
        </w:numPr>
      </w:pPr>
      <w:r w:rsidRPr="00975FAD">
        <w:t>Sept sociétés privées : Trust-</w:t>
      </w:r>
      <w:r w:rsidR="00C01E58" w:rsidRPr="00975FAD">
        <w:t>Alegria</w:t>
      </w:r>
      <w:r w:rsidRPr="00975FAD">
        <w:t xml:space="preserve"> (TRUST), l’Algérienne des Assurances (2A), Compagnie Internationale d’Assurance et de Réassurance </w:t>
      </w:r>
      <w:r w:rsidRPr="00975FAD">
        <w:rPr>
          <w:b/>
        </w:rPr>
        <w:t>(</w:t>
      </w:r>
      <w:r w:rsidRPr="00975FAD">
        <w:t xml:space="preserve">CIAR), Salama Assurances Algérie </w:t>
      </w:r>
      <w:r w:rsidRPr="00975FAD">
        <w:rPr>
          <w:b/>
        </w:rPr>
        <w:t>(</w:t>
      </w:r>
      <w:r w:rsidRPr="00975FAD">
        <w:t>SALAMA), Générale des Assurances Méditerranéenne (GAM), Alliance Assurances (ALLIANCE) et CARDIF EL DJAZAIR spécialisée en assurance de personnes;</w:t>
      </w:r>
    </w:p>
    <w:p w:rsidR="00EB1EBD" w:rsidRPr="00975FAD" w:rsidRDefault="00EB1EBD" w:rsidP="00EB1EBD">
      <w:pPr>
        <w:numPr>
          <w:ilvl w:val="0"/>
          <w:numId w:val="13"/>
        </w:numPr>
      </w:pPr>
      <w:r w:rsidRPr="00975FAD">
        <w:lastRenderedPageBreak/>
        <w:t xml:space="preserve">Deux sociétés publiques d’assurance spécialisées : </w:t>
      </w:r>
    </w:p>
    <w:p w:rsidR="00EB1EBD" w:rsidRPr="00975FAD" w:rsidRDefault="00EB1EBD" w:rsidP="00EB1EBD">
      <w:pPr>
        <w:numPr>
          <w:ilvl w:val="1"/>
          <w:numId w:val="13"/>
        </w:numPr>
      </w:pPr>
      <w:r w:rsidRPr="00975FAD">
        <w:t xml:space="preserve">La Caisse de Garantie des Crédits à l’Exportation (CAGEX) pour la garantie des exportations ; </w:t>
      </w:r>
    </w:p>
    <w:p w:rsidR="00EB1EBD" w:rsidRPr="00975FAD" w:rsidRDefault="00EB1EBD" w:rsidP="00EB1EBD">
      <w:pPr>
        <w:numPr>
          <w:ilvl w:val="1"/>
          <w:numId w:val="13"/>
        </w:numPr>
      </w:pPr>
      <w:r w:rsidRPr="00975FAD">
        <w:t>La Société de Garantie du Crédit Immobilier (SGCI)  pour le crédit immobilier.</w:t>
      </w:r>
    </w:p>
    <w:p w:rsidR="00EB1EBD" w:rsidRPr="00D13912" w:rsidRDefault="00EB1EBD" w:rsidP="00EB1EBD">
      <w:pPr>
        <w:rPr>
          <w:sz w:val="20"/>
        </w:rPr>
      </w:pPr>
    </w:p>
    <w:p w:rsidR="00EB1EBD" w:rsidRPr="008D2996" w:rsidRDefault="00EB1EBD" w:rsidP="00EB1EBD">
      <w:pPr>
        <w:pStyle w:val="Titre1"/>
      </w:pPr>
      <w:bookmarkStart w:id="130" w:name="_Toc177110622"/>
      <w:bookmarkStart w:id="131" w:name="_Toc326155979"/>
      <w:bookmarkStart w:id="132" w:name="_Toc327883418"/>
      <w:bookmarkStart w:id="133" w:name="_Toc327916515"/>
      <w:r w:rsidRPr="00E74A46">
        <w:t>Evolution et structure de la production</w:t>
      </w:r>
      <w:bookmarkEnd w:id="130"/>
      <w:bookmarkEnd w:id="131"/>
      <w:bookmarkEnd w:id="132"/>
      <w:bookmarkEnd w:id="133"/>
    </w:p>
    <w:p w:rsidR="00EB1EBD" w:rsidRPr="00975FAD" w:rsidRDefault="00EB1EBD" w:rsidP="00EB1EBD">
      <w:pPr>
        <w:spacing w:before="120" w:line="288" w:lineRule="auto"/>
        <w:rPr>
          <w:szCs w:val="20"/>
        </w:rPr>
      </w:pPr>
      <w:r w:rsidRPr="00975FAD">
        <w:rPr>
          <w:szCs w:val="20"/>
        </w:rPr>
        <w:t>L’examen des données des cinq dernières années (2006-2010) fait ressortir une croissance du chiffre d’affaires globale du marché des assurances avec un taux annuel moyen de 11,6%.</w:t>
      </w:r>
    </w:p>
    <w:p w:rsidR="00EB1EBD" w:rsidRPr="00975FAD" w:rsidRDefault="00EB1EBD" w:rsidP="00EB1EBD">
      <w:pPr>
        <w:spacing w:before="120" w:line="288" w:lineRule="auto"/>
        <w:rPr>
          <w:color w:val="0000FF"/>
          <w:szCs w:val="20"/>
        </w:rPr>
      </w:pPr>
      <w:r w:rsidRPr="00975FAD">
        <w:rPr>
          <w:szCs w:val="20"/>
        </w:rPr>
        <w:t xml:space="preserve">Les primes émises en 2010 </w:t>
      </w:r>
      <w:r w:rsidR="00EE4B84">
        <w:rPr>
          <w:szCs w:val="20"/>
        </w:rPr>
        <w:t>atteignent</w:t>
      </w:r>
      <w:r w:rsidRPr="00975FAD">
        <w:rPr>
          <w:szCs w:val="20"/>
        </w:rPr>
        <w:t xml:space="preserve"> 81,7 </w:t>
      </w:r>
      <w:r w:rsidR="009135A6">
        <w:rPr>
          <w:szCs w:val="20"/>
        </w:rPr>
        <w:t>milliard</w:t>
      </w:r>
      <w:r w:rsidRPr="00975FAD">
        <w:rPr>
          <w:szCs w:val="20"/>
        </w:rPr>
        <w:t xml:space="preserve"> de dinars contre 78</w:t>
      </w:r>
      <w:r w:rsidR="00362053">
        <w:rPr>
          <w:szCs w:val="20"/>
        </w:rPr>
        <w:t>,</w:t>
      </w:r>
      <w:r w:rsidR="00EE4B84">
        <w:rPr>
          <w:szCs w:val="20"/>
        </w:rPr>
        <w:t>5</w:t>
      </w:r>
      <w:r w:rsidRPr="00975FAD">
        <w:rPr>
          <w:szCs w:val="20"/>
        </w:rPr>
        <w:t xml:space="preserve"> </w:t>
      </w:r>
      <w:r w:rsidR="009135A6">
        <w:rPr>
          <w:szCs w:val="20"/>
        </w:rPr>
        <w:t>milliard</w:t>
      </w:r>
      <w:r w:rsidRPr="00975FAD">
        <w:rPr>
          <w:szCs w:val="20"/>
        </w:rPr>
        <w:t xml:space="preserve"> de dinars en 2009, soit une évolution de 4</w:t>
      </w:r>
      <w:r w:rsidR="0050061C">
        <w:rPr>
          <w:szCs w:val="20"/>
        </w:rPr>
        <w:t>,2</w:t>
      </w:r>
      <w:r w:rsidRPr="00975FAD">
        <w:rPr>
          <w:szCs w:val="20"/>
        </w:rPr>
        <w:t>% (</w:t>
      </w:r>
      <w:r w:rsidRPr="00975FAD">
        <w:rPr>
          <w:color w:val="0000FF"/>
          <w:szCs w:val="20"/>
        </w:rPr>
        <w:t>tableau n° 10.01).</w:t>
      </w:r>
    </w:p>
    <w:p w:rsidR="00EB1EBD" w:rsidRPr="00975FAD" w:rsidRDefault="00EB1EBD" w:rsidP="00EB1EBD">
      <w:pPr>
        <w:spacing w:before="120" w:line="288" w:lineRule="auto"/>
        <w:rPr>
          <w:rFonts w:cs="Arial"/>
          <w:szCs w:val="20"/>
        </w:rPr>
      </w:pPr>
      <w:r w:rsidRPr="00975FAD">
        <w:rPr>
          <w:rFonts w:cs="Arial"/>
          <w:szCs w:val="20"/>
        </w:rPr>
        <w:t>Les évolutions positives ont trait aux branches « crédit à l’exportation » (+42</w:t>
      </w:r>
      <w:r w:rsidR="00EA35DE">
        <w:rPr>
          <w:rFonts w:cs="Arial"/>
          <w:szCs w:val="20"/>
        </w:rPr>
        <w:t>,1</w:t>
      </w:r>
      <w:r w:rsidRPr="00975FAD">
        <w:rPr>
          <w:rFonts w:cs="Arial"/>
          <w:szCs w:val="20"/>
        </w:rPr>
        <w:t xml:space="preserve">%), </w:t>
      </w:r>
      <w:r w:rsidR="00EA35DE">
        <w:rPr>
          <w:rFonts w:cs="Arial"/>
          <w:szCs w:val="20"/>
        </w:rPr>
        <w:t>« </w:t>
      </w:r>
      <w:r w:rsidR="009F51BD">
        <w:rPr>
          <w:rFonts w:cs="Arial"/>
          <w:szCs w:val="20"/>
        </w:rPr>
        <w:t>a</w:t>
      </w:r>
      <w:r w:rsidR="00EA35DE">
        <w:rPr>
          <w:rFonts w:cs="Arial"/>
          <w:szCs w:val="20"/>
        </w:rPr>
        <w:t>ssurances de personnes » (+24,6</w:t>
      </w:r>
      <w:r w:rsidRPr="00975FAD">
        <w:rPr>
          <w:rFonts w:cs="Arial"/>
          <w:szCs w:val="20"/>
        </w:rPr>
        <w:t xml:space="preserve">%), « </w:t>
      </w:r>
      <w:r w:rsidR="009F51BD">
        <w:rPr>
          <w:rFonts w:cs="Arial"/>
          <w:szCs w:val="20"/>
        </w:rPr>
        <w:t>r</w:t>
      </w:r>
      <w:r w:rsidRPr="00975FAD">
        <w:rPr>
          <w:rFonts w:cs="Arial"/>
          <w:szCs w:val="20"/>
        </w:rPr>
        <w:t xml:space="preserve">isques agricoles » (+18,5%) et </w:t>
      </w:r>
      <w:r w:rsidR="00E13A88">
        <w:rPr>
          <w:rFonts w:cs="Arial"/>
          <w:szCs w:val="20"/>
        </w:rPr>
        <w:t>« a</w:t>
      </w:r>
      <w:r w:rsidRPr="00975FAD">
        <w:rPr>
          <w:rFonts w:cs="Arial"/>
          <w:szCs w:val="20"/>
        </w:rPr>
        <w:t>utomobile » (+12,</w:t>
      </w:r>
      <w:r w:rsidR="00EA35DE">
        <w:rPr>
          <w:rFonts w:cs="Arial"/>
          <w:szCs w:val="20"/>
        </w:rPr>
        <w:t>2</w:t>
      </w:r>
      <w:r w:rsidRPr="00975FAD">
        <w:rPr>
          <w:rFonts w:cs="Arial"/>
          <w:szCs w:val="20"/>
        </w:rPr>
        <w:t xml:space="preserve">%). </w:t>
      </w:r>
    </w:p>
    <w:p w:rsidR="00EB1EBD" w:rsidRPr="00975FAD" w:rsidRDefault="00EB1EBD" w:rsidP="00EB1EBD">
      <w:pPr>
        <w:spacing w:before="120" w:line="288" w:lineRule="auto"/>
        <w:rPr>
          <w:rFonts w:cs="Arial"/>
        </w:rPr>
      </w:pPr>
      <w:r w:rsidRPr="00975FAD">
        <w:rPr>
          <w:rFonts w:cs="Arial"/>
        </w:rPr>
        <w:t>La structure de la production</w:t>
      </w:r>
      <w:r w:rsidR="00C23F8E">
        <w:rPr>
          <w:rFonts w:cs="Arial"/>
        </w:rPr>
        <w:t xml:space="preserve"> a</w:t>
      </w:r>
      <w:r w:rsidRPr="00975FAD">
        <w:rPr>
          <w:rFonts w:cs="Arial"/>
        </w:rPr>
        <w:t xml:space="preserve"> subi quelques changements par rapport à 2009,</w:t>
      </w:r>
      <w:r w:rsidR="00D4424F" w:rsidRPr="00975FAD">
        <w:rPr>
          <w:rFonts w:cs="Arial"/>
        </w:rPr>
        <w:t xml:space="preserve"> la dominance de la  branche « a</w:t>
      </w:r>
      <w:r w:rsidRPr="00975FAD">
        <w:rPr>
          <w:rFonts w:cs="Arial"/>
        </w:rPr>
        <w:t>utomobile » est toujours pesante dans la produc</w:t>
      </w:r>
      <w:r w:rsidR="00EA35DE">
        <w:rPr>
          <w:rFonts w:cs="Arial"/>
        </w:rPr>
        <w:t>tion globale avec 48,5% contre 45</w:t>
      </w:r>
      <w:r w:rsidRPr="00975FAD">
        <w:rPr>
          <w:rFonts w:cs="Arial"/>
        </w:rPr>
        <w:t>% en 2009 devançant la banche « IRD » avec 32,</w:t>
      </w:r>
      <w:r w:rsidR="00A52894">
        <w:rPr>
          <w:rFonts w:cs="Arial"/>
        </w:rPr>
        <w:t>4</w:t>
      </w:r>
      <w:r w:rsidRPr="00975FAD">
        <w:rPr>
          <w:rFonts w:cs="Arial"/>
        </w:rPr>
        <w:t>% (36,4% en 2009). La</w:t>
      </w:r>
      <w:r w:rsidR="00D4424F" w:rsidRPr="00975FAD">
        <w:rPr>
          <w:rFonts w:cs="Arial"/>
        </w:rPr>
        <w:t xml:space="preserve"> branche « a</w:t>
      </w:r>
      <w:r w:rsidRPr="00975FAD">
        <w:rPr>
          <w:rFonts w:cs="Arial"/>
        </w:rPr>
        <w:t>ssurances de personnes»  arrive loin en troisième position avec 8,8% au détriment de la branche</w:t>
      </w:r>
      <w:r w:rsidR="00D4424F" w:rsidRPr="00975FAD">
        <w:rPr>
          <w:rFonts w:cs="Arial"/>
        </w:rPr>
        <w:t xml:space="preserve"> « t</w:t>
      </w:r>
      <w:r w:rsidRPr="00975FAD">
        <w:rPr>
          <w:rFonts w:cs="Arial"/>
        </w:rPr>
        <w:t xml:space="preserve">ransport » qui occupe le quatrième rang en 2010 avec une part de </w:t>
      </w:r>
      <w:r w:rsidR="00D4424F" w:rsidRPr="00975FAD">
        <w:rPr>
          <w:rFonts w:cs="Arial"/>
        </w:rPr>
        <w:t xml:space="preserve"> 7,</w:t>
      </w:r>
      <w:r w:rsidR="000D6828">
        <w:rPr>
          <w:rFonts w:cs="Arial"/>
        </w:rPr>
        <w:t>5</w:t>
      </w:r>
      <w:r w:rsidR="00D4424F" w:rsidRPr="00975FAD">
        <w:rPr>
          <w:rFonts w:cs="Arial"/>
        </w:rPr>
        <w:t>%. Les « a</w:t>
      </w:r>
      <w:r w:rsidRPr="00975FAD">
        <w:rPr>
          <w:rFonts w:cs="Arial"/>
        </w:rPr>
        <w:t>ssu</w:t>
      </w:r>
      <w:r w:rsidR="00D4424F" w:rsidRPr="00975FAD">
        <w:rPr>
          <w:rFonts w:cs="Arial"/>
        </w:rPr>
        <w:t>rances a</w:t>
      </w:r>
      <w:r w:rsidRPr="00975FAD">
        <w:rPr>
          <w:rFonts w:cs="Arial"/>
        </w:rPr>
        <w:t>gricoles</w:t>
      </w:r>
      <w:r w:rsidR="00D4424F" w:rsidRPr="00975FAD">
        <w:rPr>
          <w:rFonts w:cs="Arial"/>
        </w:rPr>
        <w:t> »</w:t>
      </w:r>
      <w:r w:rsidRPr="00975FAD">
        <w:rPr>
          <w:rFonts w:cs="Arial"/>
        </w:rPr>
        <w:t xml:space="preserve"> et </w:t>
      </w:r>
      <w:r w:rsidR="00D4424F" w:rsidRPr="00975FAD">
        <w:rPr>
          <w:rFonts w:cs="Arial"/>
        </w:rPr>
        <w:t>« c</w:t>
      </w:r>
      <w:r w:rsidRPr="00975FAD">
        <w:rPr>
          <w:rFonts w:cs="Arial"/>
        </w:rPr>
        <w:t>rédit</w:t>
      </w:r>
      <w:r w:rsidR="00D4424F" w:rsidRPr="00975FAD">
        <w:rPr>
          <w:rFonts w:cs="Arial"/>
        </w:rPr>
        <w:t> »</w:t>
      </w:r>
      <w:r w:rsidRPr="00975FAD">
        <w:rPr>
          <w:rFonts w:cs="Arial"/>
        </w:rPr>
        <w:t xml:space="preserve"> occupent seulement 1,5% et 0,</w:t>
      </w:r>
      <w:r w:rsidR="00EA35DE">
        <w:rPr>
          <w:rFonts w:cs="Arial"/>
        </w:rPr>
        <w:t>4</w:t>
      </w:r>
      <w:r w:rsidRPr="00975FAD">
        <w:rPr>
          <w:rFonts w:cs="Arial"/>
        </w:rPr>
        <w:t xml:space="preserve">% </w:t>
      </w:r>
      <w:r w:rsidR="00E13A88" w:rsidRPr="00975FAD">
        <w:rPr>
          <w:rFonts w:cs="Arial"/>
        </w:rPr>
        <w:t xml:space="preserve">de parts de marché </w:t>
      </w:r>
      <w:r w:rsidRPr="00975FAD">
        <w:rPr>
          <w:rFonts w:cs="Arial"/>
        </w:rPr>
        <w:t>respectivement.</w:t>
      </w:r>
    </w:p>
    <w:p w:rsidR="00EB1EBD" w:rsidRPr="00975FAD" w:rsidRDefault="00EB1EBD" w:rsidP="00EB1EBD">
      <w:pPr>
        <w:spacing w:before="120" w:line="288" w:lineRule="auto"/>
        <w:rPr>
          <w:rFonts w:cs="Arial"/>
        </w:rPr>
      </w:pPr>
    </w:p>
    <w:p w:rsidR="00EB1EBD" w:rsidRPr="008D2996" w:rsidRDefault="00EB1EBD" w:rsidP="00EB1EBD">
      <w:pPr>
        <w:spacing w:before="120" w:line="288" w:lineRule="auto"/>
        <w:rPr>
          <w:rFonts w:cs="Arial"/>
          <w:sz w:val="20"/>
          <w:szCs w:val="20"/>
        </w:rPr>
      </w:pPr>
    </w:p>
    <w:p w:rsidR="00756ECE" w:rsidRPr="008D2996" w:rsidRDefault="00756ECE" w:rsidP="00756ECE">
      <w:pPr>
        <w:spacing w:before="120" w:line="288" w:lineRule="auto"/>
        <w:rPr>
          <w:rFonts w:cs="Arial"/>
        </w:rPr>
      </w:pPr>
    </w:p>
    <w:p w:rsidR="00756ECE" w:rsidRPr="008D2996" w:rsidRDefault="00756ECE" w:rsidP="00756ECE">
      <w:pPr>
        <w:spacing w:before="120" w:line="288" w:lineRule="auto"/>
        <w:rPr>
          <w:rFonts w:cs="Arial"/>
        </w:rPr>
      </w:pPr>
    </w:p>
    <w:p w:rsidR="00756ECE" w:rsidRPr="008D2996" w:rsidRDefault="00756ECE" w:rsidP="00756ECE">
      <w:pPr>
        <w:spacing w:before="120" w:line="288" w:lineRule="auto"/>
        <w:rPr>
          <w:rFonts w:cs="Arial"/>
        </w:rPr>
      </w:pPr>
    </w:p>
    <w:p w:rsidR="00715D19" w:rsidRPr="008D2996" w:rsidRDefault="00715D19" w:rsidP="0078543C">
      <w:pPr>
        <w:spacing w:before="120" w:line="288" w:lineRule="auto"/>
        <w:rPr>
          <w:highlight w:val="yellow"/>
        </w:rPr>
        <w:sectPr w:rsidR="00715D19" w:rsidRPr="008D2996" w:rsidSect="005F4342">
          <w:footnotePr>
            <w:numRestart w:val="eachPage"/>
          </w:footnotePr>
          <w:type w:val="nextColumn"/>
          <w:pgSz w:w="11906" w:h="16838" w:code="9"/>
          <w:pgMar w:top="1588" w:right="1418" w:bottom="1304" w:left="1418" w:header="709" w:footer="709" w:gutter="0"/>
          <w:cols w:space="708"/>
          <w:docGrid w:linePitch="360"/>
        </w:sectPr>
      </w:pPr>
    </w:p>
    <w:p w:rsidR="007B3A27" w:rsidRPr="008D2996" w:rsidRDefault="00766148">
      <w:pPr>
        <w:spacing w:before="120"/>
        <w:rPr>
          <w:szCs w:val="40"/>
          <w:highlight w:val="yellow"/>
        </w:rPr>
        <w:sectPr w:rsidR="007B3A27" w:rsidRPr="008D2996" w:rsidSect="005A1D4B">
          <w:footnotePr>
            <w:numRestart w:val="eachPage"/>
          </w:footnotePr>
          <w:pgSz w:w="16838" w:h="11906" w:orient="landscape" w:code="9"/>
          <w:pgMar w:top="1871" w:right="1134" w:bottom="1304" w:left="1134" w:header="709" w:footer="709" w:gutter="0"/>
          <w:cols w:space="708"/>
          <w:vAlign w:val="center"/>
          <w:docGrid w:linePitch="360"/>
        </w:sectPr>
      </w:pPr>
      <w:r w:rsidRPr="00177FB9">
        <w:rPr>
          <w:noProof/>
          <w:szCs w:val="40"/>
        </w:rPr>
        <w:object w:dxaOrig="16871" w:dyaOrig="13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75pt;height:434.25pt" o:ole="">
            <v:imagedata r:id="rId14" o:title=""/>
          </v:shape>
          <o:OLEObject Type="Embed" ProgID="Excel.Sheet.12" ShapeID="_x0000_i1025" DrawAspect="Content" ObjectID="_1402320637" r:id="rId15"/>
        </w:object>
      </w:r>
    </w:p>
    <w:p w:rsidR="00287A7E" w:rsidRPr="008D2996" w:rsidRDefault="00287A7E" w:rsidP="00287A7E">
      <w:pPr>
        <w:spacing w:before="120"/>
        <w:rPr>
          <w:noProof/>
          <w:highlight w:val="yellow"/>
        </w:rPr>
      </w:pPr>
    </w:p>
    <w:p w:rsidR="00287A7E" w:rsidRPr="008D2996" w:rsidRDefault="00E74A46" w:rsidP="00287A7E">
      <w:pPr>
        <w:spacing w:before="120" w:line="288" w:lineRule="auto"/>
        <w:rPr>
          <w:color w:val="000000"/>
          <w:sz w:val="28"/>
          <w:szCs w:val="28"/>
        </w:rPr>
      </w:pPr>
      <w:bookmarkStart w:id="134" w:name="_Toc177110623"/>
      <w:r w:rsidRPr="00E74A46">
        <w:rPr>
          <w:color w:val="000000"/>
          <w:sz w:val="28"/>
          <w:szCs w:val="28"/>
        </w:rPr>
        <w:t>Production additionnelle</w:t>
      </w:r>
      <w:bookmarkEnd w:id="134"/>
    </w:p>
    <w:p w:rsidR="00B64433" w:rsidRPr="008D2996" w:rsidRDefault="00E74A46" w:rsidP="0054371F">
      <w:pPr>
        <w:spacing w:before="120" w:line="288" w:lineRule="auto"/>
        <w:rPr>
          <w:rFonts w:cs="Arial"/>
        </w:rPr>
      </w:pPr>
      <w:r w:rsidRPr="00E74A46">
        <w:rPr>
          <w:rFonts w:cs="Arial"/>
        </w:rPr>
        <w:t>L</w:t>
      </w:r>
      <w:r w:rsidR="00EB1EBD">
        <w:rPr>
          <w:rFonts w:cs="Arial"/>
        </w:rPr>
        <w:t>a production d’assurance connaît</w:t>
      </w:r>
      <w:r w:rsidRPr="00E74A46">
        <w:rPr>
          <w:rFonts w:cs="Arial"/>
        </w:rPr>
        <w:t xml:space="preserve"> une évolution de 4</w:t>
      </w:r>
      <w:r w:rsidR="00144022">
        <w:rPr>
          <w:rFonts w:cs="Arial"/>
        </w:rPr>
        <w:t>,2</w:t>
      </w:r>
      <w:r w:rsidRPr="00E74A46">
        <w:rPr>
          <w:rFonts w:cs="Arial"/>
        </w:rPr>
        <w:t>%</w:t>
      </w:r>
      <w:r w:rsidR="0054371F">
        <w:rPr>
          <w:rFonts w:cs="Arial"/>
        </w:rPr>
        <w:t xml:space="preserve">, </w:t>
      </w:r>
      <w:r w:rsidRPr="00E74A46">
        <w:rPr>
          <w:rFonts w:cs="Arial"/>
        </w:rPr>
        <w:t>soit une production additionnelle de 3,</w:t>
      </w:r>
      <w:r w:rsidR="00E13A88">
        <w:rPr>
          <w:rFonts w:cs="Arial"/>
        </w:rPr>
        <w:t>3</w:t>
      </w:r>
      <w:r w:rsidR="00E13A88" w:rsidRPr="00E74A46">
        <w:rPr>
          <w:rFonts w:cs="Arial"/>
        </w:rPr>
        <w:t xml:space="preserve"> </w:t>
      </w:r>
      <w:r w:rsidR="009135A6">
        <w:rPr>
          <w:rFonts w:cs="Arial"/>
        </w:rPr>
        <w:t>milliard</w:t>
      </w:r>
      <w:r w:rsidRPr="00E74A46">
        <w:rPr>
          <w:rFonts w:cs="Arial"/>
        </w:rPr>
        <w:t xml:space="preserve"> de </w:t>
      </w:r>
      <w:r w:rsidR="00F90D34" w:rsidRPr="00E74A46">
        <w:rPr>
          <w:rFonts w:cs="Arial"/>
        </w:rPr>
        <w:t xml:space="preserve">dinars </w:t>
      </w:r>
      <w:r w:rsidRPr="00E74A46">
        <w:rPr>
          <w:rFonts w:cs="Arial"/>
          <w:color w:val="0000FF"/>
        </w:rPr>
        <w:t>(tableaux n°10.02</w:t>
      </w:r>
      <w:r w:rsidR="00DB5FD4">
        <w:rPr>
          <w:rFonts w:cs="Arial"/>
          <w:color w:val="0000FF"/>
        </w:rPr>
        <w:t>,</w:t>
      </w:r>
      <w:r w:rsidR="00D45634">
        <w:rPr>
          <w:rFonts w:cs="Arial"/>
          <w:color w:val="0000FF"/>
        </w:rPr>
        <w:t xml:space="preserve"> </w:t>
      </w:r>
      <w:r w:rsidR="00DB5FD4">
        <w:rPr>
          <w:rFonts w:cs="Arial"/>
          <w:color w:val="0000FF"/>
        </w:rPr>
        <w:t>10.02bis</w:t>
      </w:r>
      <w:r w:rsidRPr="00E74A46">
        <w:rPr>
          <w:rFonts w:cs="Arial"/>
          <w:color w:val="0000FF"/>
        </w:rPr>
        <w:t>)</w:t>
      </w:r>
      <w:r w:rsidR="00F90D34" w:rsidRPr="00E74A46">
        <w:rPr>
          <w:rFonts w:cs="Arial"/>
        </w:rPr>
        <w:t>.</w:t>
      </w:r>
      <w:r w:rsidRPr="00E74A46">
        <w:rPr>
          <w:rFonts w:cs="Arial"/>
          <w:color w:val="0000FF"/>
        </w:rPr>
        <w:t> </w:t>
      </w:r>
    </w:p>
    <w:p w:rsidR="00763501" w:rsidRPr="008D2996" w:rsidRDefault="00E74A46" w:rsidP="00763501">
      <w:pPr>
        <w:pStyle w:val="Titre3"/>
        <w:rPr>
          <w:color w:val="000000"/>
        </w:rPr>
      </w:pPr>
      <w:bookmarkStart w:id="135" w:name="_Toc326155980"/>
      <w:bookmarkStart w:id="136" w:name="_Toc327883419"/>
      <w:bookmarkStart w:id="137" w:name="_Toc327883599"/>
      <w:bookmarkStart w:id="138" w:name="_Toc327883943"/>
      <w:bookmarkStart w:id="139" w:name="_Toc327884453"/>
      <w:bookmarkStart w:id="140" w:name="_Toc327885005"/>
      <w:bookmarkStart w:id="141" w:name="_Toc327885589"/>
      <w:bookmarkStart w:id="142" w:name="_Toc327916516"/>
      <w:r w:rsidRPr="00E74A46">
        <w:rPr>
          <w:color w:val="000000"/>
        </w:rPr>
        <w:t>Analyse par branche</w:t>
      </w:r>
      <w:bookmarkEnd w:id="135"/>
      <w:bookmarkEnd w:id="136"/>
      <w:bookmarkEnd w:id="137"/>
      <w:bookmarkEnd w:id="138"/>
      <w:bookmarkEnd w:id="139"/>
      <w:bookmarkEnd w:id="140"/>
      <w:bookmarkEnd w:id="141"/>
      <w:bookmarkEnd w:id="142"/>
      <w:r w:rsidRPr="00E74A46">
        <w:rPr>
          <w:color w:val="000000"/>
        </w:rPr>
        <w:t> </w:t>
      </w:r>
    </w:p>
    <w:p w:rsidR="00B64433" w:rsidRPr="008D2996" w:rsidRDefault="00254DCB" w:rsidP="0054371F">
      <w:pPr>
        <w:numPr>
          <w:ilvl w:val="1"/>
          <w:numId w:val="16"/>
        </w:numPr>
        <w:tabs>
          <w:tab w:val="clear" w:pos="1440"/>
          <w:tab w:val="num" w:pos="426"/>
        </w:tabs>
        <w:spacing w:before="120" w:line="288" w:lineRule="auto"/>
        <w:ind w:left="426" w:hanging="426"/>
      </w:pPr>
      <w:r>
        <w:rPr>
          <w:rFonts w:cs="Arial"/>
        </w:rPr>
        <w:t>l</w:t>
      </w:r>
      <w:r w:rsidR="00D4424F">
        <w:rPr>
          <w:rFonts w:cs="Arial"/>
        </w:rPr>
        <w:t>a branche « a</w:t>
      </w:r>
      <w:r w:rsidR="00E74A46" w:rsidRPr="00E74A46">
        <w:rPr>
          <w:rFonts w:cs="Arial"/>
        </w:rPr>
        <w:t>utomobile </w:t>
      </w:r>
      <w:r w:rsidR="00F90D34" w:rsidRPr="00E74A46">
        <w:rPr>
          <w:rFonts w:cs="Arial"/>
        </w:rPr>
        <w:t xml:space="preserve">», </w:t>
      </w:r>
      <w:r w:rsidR="0054371F">
        <w:rPr>
          <w:rFonts w:cs="Arial"/>
        </w:rPr>
        <w:t>avec</w:t>
      </w:r>
      <w:r w:rsidR="00F90D34" w:rsidRPr="00E74A46">
        <w:rPr>
          <w:rFonts w:cs="Arial"/>
        </w:rPr>
        <w:t xml:space="preserve"> </w:t>
      </w:r>
      <w:r w:rsidR="00E74A46" w:rsidRPr="00E74A46">
        <w:rPr>
          <w:rFonts w:cs="Arial"/>
        </w:rPr>
        <w:t>une croissance de 12,</w:t>
      </w:r>
      <w:r w:rsidR="00DD2770">
        <w:rPr>
          <w:rFonts w:cs="Arial"/>
        </w:rPr>
        <w:t>2</w:t>
      </w:r>
      <w:r w:rsidR="00E74A46" w:rsidRPr="00E74A46">
        <w:rPr>
          <w:rFonts w:cs="Arial"/>
        </w:rPr>
        <w:t xml:space="preserve">% (+19,2% en 2009), </w:t>
      </w:r>
      <w:r w:rsidR="00F90D34">
        <w:rPr>
          <w:rFonts w:cs="Arial"/>
        </w:rPr>
        <w:t>ré</w:t>
      </w:r>
      <w:r w:rsidR="00AB4911">
        <w:rPr>
          <w:rFonts w:cs="Arial"/>
        </w:rPr>
        <w:t>a</w:t>
      </w:r>
      <w:r w:rsidR="00F90D34">
        <w:rPr>
          <w:rFonts w:cs="Arial"/>
        </w:rPr>
        <w:t>lise</w:t>
      </w:r>
      <w:r w:rsidR="004C495C">
        <w:rPr>
          <w:rFonts w:cs="Arial"/>
        </w:rPr>
        <w:t xml:space="preserve"> à elle seule 13</w:t>
      </w:r>
      <w:r w:rsidR="006F0479">
        <w:rPr>
          <w:rFonts w:cs="Arial"/>
        </w:rPr>
        <w:t>1,9</w:t>
      </w:r>
      <w:r w:rsidR="00E74A46" w:rsidRPr="00E74A46">
        <w:rPr>
          <w:rFonts w:cs="Arial"/>
        </w:rPr>
        <w:t xml:space="preserve">% de la production additionnelle de tout le secteur du fait de son poids dans la production globale (48,5%). </w:t>
      </w:r>
    </w:p>
    <w:p w:rsidR="00C4508C" w:rsidRDefault="0054371F">
      <w:pPr>
        <w:tabs>
          <w:tab w:val="left" w:pos="426"/>
        </w:tabs>
        <w:spacing w:before="120" w:after="0"/>
        <w:ind w:left="426"/>
      </w:pPr>
      <w:r>
        <w:t>C</w:t>
      </w:r>
      <w:r w:rsidRPr="00E74A46">
        <w:t>ette évolution</w:t>
      </w:r>
      <w:r>
        <w:t>,</w:t>
      </w:r>
      <w:r w:rsidRPr="00E74A46">
        <w:t xml:space="preserve"> réalisée malgré la suppression des crédits à la consommation intervenue en 2009</w:t>
      </w:r>
      <w:r>
        <w:t>, s’explique par l</w:t>
      </w:r>
      <w:r w:rsidRPr="00E74A46">
        <w:t xml:space="preserve">’accroissement </w:t>
      </w:r>
      <w:r w:rsidR="00E74A46" w:rsidRPr="00E74A46">
        <w:t xml:space="preserve">du parc automobile </w:t>
      </w:r>
      <w:r>
        <w:t>induisant</w:t>
      </w:r>
      <w:r w:rsidRPr="00E74A46">
        <w:t xml:space="preserve"> </w:t>
      </w:r>
      <w:r w:rsidR="00E74A46" w:rsidRPr="00E74A46">
        <w:t xml:space="preserve">la souscription </w:t>
      </w:r>
      <w:r>
        <w:t>des</w:t>
      </w:r>
      <w:r w:rsidRPr="00E74A46">
        <w:t xml:space="preserve"> </w:t>
      </w:r>
      <w:r w:rsidR="00E74A46" w:rsidRPr="00E74A46">
        <w:t>garanties dommages (</w:t>
      </w:r>
      <w:r w:rsidR="00E13A88">
        <w:t>« to</w:t>
      </w:r>
      <w:r w:rsidR="00E74A46" w:rsidRPr="00E74A46">
        <w:t xml:space="preserve">us </w:t>
      </w:r>
      <w:r w:rsidR="00E13A88">
        <w:t>r</w:t>
      </w:r>
      <w:r w:rsidR="00E74A46" w:rsidRPr="00E74A46">
        <w:t>isques</w:t>
      </w:r>
      <w:r w:rsidR="00E13A88">
        <w:t> »</w:t>
      </w:r>
      <w:r w:rsidR="00E74A46" w:rsidRPr="00E74A46">
        <w:t xml:space="preserve">, </w:t>
      </w:r>
      <w:r w:rsidR="00E13A88">
        <w:t>« d</w:t>
      </w:r>
      <w:r w:rsidR="00E74A46" w:rsidRPr="00E74A46">
        <w:t>ommage</w:t>
      </w:r>
      <w:r w:rsidR="00E13A88">
        <w:t>-c</w:t>
      </w:r>
      <w:r w:rsidR="00E74A46" w:rsidRPr="00E74A46">
        <w:t>ollision</w:t>
      </w:r>
      <w:r w:rsidR="00E13A88">
        <w:t> »</w:t>
      </w:r>
      <w:r w:rsidR="00E74A46" w:rsidRPr="00E74A46">
        <w:t xml:space="preserve"> et </w:t>
      </w:r>
      <w:r w:rsidR="00E13A88">
        <w:t>« v</w:t>
      </w:r>
      <w:r w:rsidR="00E13A88" w:rsidRPr="00E74A46">
        <w:t xml:space="preserve">ol </w:t>
      </w:r>
      <w:r w:rsidR="00E74A46" w:rsidRPr="00E74A46">
        <w:t xml:space="preserve">et </w:t>
      </w:r>
      <w:r w:rsidR="00E13A88">
        <w:t>i</w:t>
      </w:r>
      <w:r w:rsidR="00E13A88" w:rsidRPr="00E74A46">
        <w:t>ncendie</w:t>
      </w:r>
      <w:r w:rsidR="00E13A88">
        <w:t> »</w:t>
      </w:r>
      <w:r w:rsidR="00E74A46" w:rsidRPr="00E74A46">
        <w:t>)</w:t>
      </w:r>
      <w:r>
        <w:t>. Ces dernières</w:t>
      </w:r>
      <w:r w:rsidR="00392360">
        <w:t>,</w:t>
      </w:r>
      <w:r w:rsidR="00E74A46" w:rsidRPr="00E74A46">
        <w:t xml:space="preserve"> </w:t>
      </w:r>
      <w:r>
        <w:t xml:space="preserve">en </w:t>
      </w:r>
      <w:r w:rsidRPr="00E74A46">
        <w:t>progress</w:t>
      </w:r>
      <w:r>
        <w:t>ion</w:t>
      </w:r>
      <w:r w:rsidRPr="00E74A46">
        <w:t xml:space="preserve"> de 13%</w:t>
      </w:r>
      <w:r w:rsidR="00392360">
        <w:t xml:space="preserve">, </w:t>
      </w:r>
      <w:r w:rsidR="00E74A46" w:rsidRPr="00E74A46">
        <w:t>représentent près de 80% du portefeuille de la branch</w:t>
      </w:r>
      <w:r w:rsidR="00392360">
        <w:t>e</w:t>
      </w:r>
      <w:r w:rsidR="00E74A46" w:rsidRPr="00E74A46">
        <w:t>.</w:t>
      </w:r>
    </w:p>
    <w:p w:rsidR="00055F81" w:rsidRPr="00055F81" w:rsidRDefault="00055F81" w:rsidP="00055F81">
      <w:pPr>
        <w:spacing w:line="240" w:lineRule="auto"/>
        <w:ind w:left="360"/>
      </w:pPr>
    </w:p>
    <w:p w:rsidR="00B64433" w:rsidRPr="008D2996" w:rsidRDefault="00254DCB" w:rsidP="00B64433">
      <w:pPr>
        <w:numPr>
          <w:ilvl w:val="0"/>
          <w:numId w:val="17"/>
        </w:numPr>
        <w:spacing w:line="240" w:lineRule="auto"/>
      </w:pPr>
      <w:r>
        <w:rPr>
          <w:rFonts w:cs="Arial"/>
        </w:rPr>
        <w:t>la</w:t>
      </w:r>
      <w:r w:rsidR="00E74A46" w:rsidRPr="00E74A46">
        <w:rPr>
          <w:rFonts w:cs="Arial"/>
        </w:rPr>
        <w:t xml:space="preserve"> branche « IRD » contribu</w:t>
      </w:r>
      <w:r w:rsidR="00F90D34">
        <w:rPr>
          <w:rFonts w:cs="Arial"/>
        </w:rPr>
        <w:t>e</w:t>
      </w:r>
      <w:r w:rsidR="00E74A46" w:rsidRPr="00E74A46">
        <w:rPr>
          <w:rFonts w:cs="Arial"/>
        </w:rPr>
        <w:t xml:space="preserve"> négativement à la</w:t>
      </w:r>
      <w:r w:rsidR="00AE343E">
        <w:rPr>
          <w:rFonts w:cs="Arial"/>
        </w:rPr>
        <w:t xml:space="preserve"> production additionnelle (-62,1</w:t>
      </w:r>
      <w:r w:rsidR="00E74A46" w:rsidRPr="00E74A46">
        <w:rPr>
          <w:rFonts w:cs="Arial"/>
        </w:rPr>
        <w:t xml:space="preserve">%), en raison de la baisse de sa production (-7,1%). </w:t>
      </w:r>
    </w:p>
    <w:p w:rsidR="001B7D26" w:rsidRDefault="00E74A46" w:rsidP="001B7D26">
      <w:pPr>
        <w:spacing w:before="120"/>
        <w:ind w:left="360"/>
      </w:pPr>
      <w:r w:rsidRPr="00E74A46">
        <w:t xml:space="preserve">Les branches « engineering » et « incendie des risques industriels»  </w:t>
      </w:r>
      <w:r w:rsidR="00F90D34" w:rsidRPr="00E74A46">
        <w:t>marqu</w:t>
      </w:r>
      <w:r w:rsidR="00F90D34">
        <w:t>ent</w:t>
      </w:r>
      <w:r w:rsidR="00F90D34" w:rsidRPr="00E74A46">
        <w:t xml:space="preserve"> </w:t>
      </w:r>
      <w:r w:rsidR="00AE343E">
        <w:t>respectivement des baisses de 23</w:t>
      </w:r>
      <w:r w:rsidRPr="00E74A46">
        <w:t>,</w:t>
      </w:r>
      <w:r w:rsidR="00AE343E">
        <w:t>9</w:t>
      </w:r>
      <w:r w:rsidRPr="00E74A46">
        <w:t>% et 3,2%.</w:t>
      </w:r>
      <w:r w:rsidRPr="00E74A46">
        <w:rPr>
          <w:rFonts w:cs="Arial"/>
        </w:rPr>
        <w:t xml:space="preserve"> Cette baisse s’explique par le ralentissement dans le lancement des projets inscrit</w:t>
      </w:r>
      <w:r w:rsidR="00392360">
        <w:rPr>
          <w:rFonts w:cs="Arial"/>
        </w:rPr>
        <w:t>s</w:t>
      </w:r>
      <w:r w:rsidRPr="00E74A46">
        <w:rPr>
          <w:rFonts w:cs="Arial"/>
        </w:rPr>
        <w:t xml:space="preserve"> dans le programme d’investissement (2010/2014) et le</w:t>
      </w:r>
      <w:r w:rsidR="00392360">
        <w:rPr>
          <w:rFonts w:cs="Arial"/>
        </w:rPr>
        <w:t xml:space="preserve"> décalage d</w:t>
      </w:r>
      <w:r w:rsidR="001B7D26">
        <w:rPr>
          <w:rFonts w:cs="Arial"/>
        </w:rPr>
        <w:t>ans l’enregistrement</w:t>
      </w:r>
      <w:r w:rsidR="00541BB3">
        <w:rPr>
          <w:rFonts w:cs="Arial"/>
        </w:rPr>
        <w:t xml:space="preserve"> </w:t>
      </w:r>
      <w:r w:rsidRPr="00E74A46">
        <w:rPr>
          <w:rFonts w:cs="Arial"/>
        </w:rPr>
        <w:t xml:space="preserve">du contrat de </w:t>
      </w:r>
      <w:r w:rsidRPr="001B7D26">
        <w:rPr>
          <w:rFonts w:cs="Arial"/>
        </w:rPr>
        <w:t>SONATRACH</w:t>
      </w:r>
      <w:r w:rsidRPr="001B7D26">
        <w:t>.</w:t>
      </w:r>
      <w:r w:rsidRPr="00E74A46">
        <w:t xml:space="preserve"> </w:t>
      </w:r>
    </w:p>
    <w:p w:rsidR="00B64433" w:rsidRPr="00035857" w:rsidRDefault="00E74A46" w:rsidP="001B7D26">
      <w:pPr>
        <w:spacing w:before="120"/>
        <w:ind w:left="360"/>
      </w:pPr>
      <w:r w:rsidRPr="00035857">
        <w:t xml:space="preserve">Les </w:t>
      </w:r>
      <w:r w:rsidR="00254DCB">
        <w:t>« </w:t>
      </w:r>
      <w:r w:rsidRPr="00035857">
        <w:t>risques simples</w:t>
      </w:r>
      <w:r w:rsidR="00254DCB">
        <w:t> »</w:t>
      </w:r>
      <w:r w:rsidRPr="00035857">
        <w:t xml:space="preserve"> </w:t>
      </w:r>
      <w:r w:rsidR="00F90D34" w:rsidRPr="00035857">
        <w:t>connaissent</w:t>
      </w:r>
      <w:r w:rsidRPr="00035857">
        <w:t xml:space="preserve"> une croissance de </w:t>
      </w:r>
      <w:r w:rsidR="00AE343E">
        <w:t>10</w:t>
      </w:r>
      <w:r w:rsidR="006F0479">
        <w:t>,0</w:t>
      </w:r>
      <w:r w:rsidRPr="00035857">
        <w:t>%</w:t>
      </w:r>
      <w:r w:rsidR="001B7D26" w:rsidRPr="00035857">
        <w:t xml:space="preserve"> </w:t>
      </w:r>
      <w:r w:rsidR="00AE343E">
        <w:t>(+13</w:t>
      </w:r>
      <w:r w:rsidRPr="00035857">
        <w:t>,</w:t>
      </w:r>
      <w:r w:rsidR="00AE343E">
        <w:t>5</w:t>
      </w:r>
      <w:r w:rsidRPr="00035857">
        <w:t xml:space="preserve">% en 2009) et contribuent à hauteur de </w:t>
      </w:r>
      <w:r w:rsidR="005535A4">
        <w:t>16,7</w:t>
      </w:r>
      <w:r w:rsidRPr="00035857">
        <w:t>% à la croissance globale.</w:t>
      </w:r>
    </w:p>
    <w:p w:rsidR="00B64433" w:rsidRPr="00035857" w:rsidRDefault="00254DCB" w:rsidP="008A03A2">
      <w:pPr>
        <w:numPr>
          <w:ilvl w:val="0"/>
          <w:numId w:val="17"/>
        </w:numPr>
        <w:spacing w:line="240" w:lineRule="auto"/>
        <w:rPr>
          <w:rFonts w:cs="Arial"/>
        </w:rPr>
      </w:pPr>
      <w:r>
        <w:rPr>
          <w:rFonts w:cs="Arial"/>
        </w:rPr>
        <w:t>l</w:t>
      </w:r>
      <w:r w:rsidR="00E74A46" w:rsidRPr="00035857">
        <w:rPr>
          <w:rFonts w:cs="Arial"/>
        </w:rPr>
        <w:t>a branche « </w:t>
      </w:r>
      <w:r w:rsidR="001B7D26" w:rsidRPr="00035857">
        <w:rPr>
          <w:rFonts w:cs="Arial"/>
        </w:rPr>
        <w:t>t</w:t>
      </w:r>
      <w:r w:rsidR="00E74A46" w:rsidRPr="00035857">
        <w:rPr>
          <w:rFonts w:cs="Arial"/>
        </w:rPr>
        <w:t xml:space="preserve">ransport » avec </w:t>
      </w:r>
      <w:r w:rsidR="00AA1886" w:rsidRPr="00035857">
        <w:rPr>
          <w:rFonts w:cs="Arial"/>
        </w:rPr>
        <w:t>une régression</w:t>
      </w:r>
      <w:r w:rsidR="00E74A46" w:rsidRPr="00035857">
        <w:rPr>
          <w:rFonts w:cs="Arial"/>
        </w:rPr>
        <w:t xml:space="preserve"> de 1,</w:t>
      </w:r>
      <w:r w:rsidR="00AE343E">
        <w:rPr>
          <w:rFonts w:cs="Arial"/>
        </w:rPr>
        <w:t>5</w:t>
      </w:r>
      <w:r w:rsidR="00E74A46" w:rsidRPr="00035857">
        <w:rPr>
          <w:rFonts w:cs="Arial"/>
        </w:rPr>
        <w:t>%  et une part de 7,</w:t>
      </w:r>
      <w:r w:rsidR="00AE343E">
        <w:rPr>
          <w:rFonts w:cs="Arial"/>
        </w:rPr>
        <w:t>5</w:t>
      </w:r>
      <w:r w:rsidR="00E74A46" w:rsidRPr="00035857">
        <w:rPr>
          <w:rFonts w:cs="Arial"/>
        </w:rPr>
        <w:t>% dans la production globale, contribu</w:t>
      </w:r>
      <w:r w:rsidR="00F90D34" w:rsidRPr="00035857">
        <w:rPr>
          <w:rFonts w:cs="Arial"/>
        </w:rPr>
        <w:t>e</w:t>
      </w:r>
      <w:r w:rsidR="00E74A46" w:rsidRPr="00035857">
        <w:rPr>
          <w:rFonts w:cs="Arial"/>
        </w:rPr>
        <w:t xml:space="preserve"> négativement (-</w:t>
      </w:r>
      <w:r w:rsidR="006F0479">
        <w:rPr>
          <w:rFonts w:cs="Arial"/>
        </w:rPr>
        <w:t>2,8</w:t>
      </w:r>
      <w:r w:rsidR="00E74A46" w:rsidRPr="00035857">
        <w:rPr>
          <w:rFonts w:cs="Arial"/>
        </w:rPr>
        <w:t xml:space="preserve">%) à la production additionnelle en 2010. </w:t>
      </w:r>
      <w:r w:rsidR="008A03A2" w:rsidRPr="00035857">
        <w:rPr>
          <w:rFonts w:cs="Arial"/>
        </w:rPr>
        <w:t xml:space="preserve">Cette contribution négative est essentiellement due à la baisse de </w:t>
      </w:r>
      <w:r w:rsidR="00E74A46" w:rsidRPr="00035857">
        <w:rPr>
          <w:rFonts w:cs="Arial"/>
        </w:rPr>
        <w:t xml:space="preserve"> l’assurance des </w:t>
      </w:r>
      <w:r w:rsidR="00035857" w:rsidRPr="00035857">
        <w:rPr>
          <w:rFonts w:cs="Arial"/>
        </w:rPr>
        <w:t>facultés maritimes</w:t>
      </w:r>
      <w:r w:rsidR="00541BB3" w:rsidRPr="00035857">
        <w:rPr>
          <w:rFonts w:cs="Arial"/>
        </w:rPr>
        <w:t xml:space="preserve"> suite au</w:t>
      </w:r>
      <w:r w:rsidR="008A03A2" w:rsidRPr="00035857">
        <w:rPr>
          <w:rFonts w:cs="Arial"/>
        </w:rPr>
        <w:t xml:space="preserve"> ralentissement des projets d’investissement. </w:t>
      </w:r>
    </w:p>
    <w:p w:rsidR="00212B3D" w:rsidRPr="0090363B" w:rsidRDefault="00254DCB" w:rsidP="00481788">
      <w:pPr>
        <w:numPr>
          <w:ilvl w:val="0"/>
          <w:numId w:val="17"/>
        </w:numPr>
        <w:spacing w:line="240" w:lineRule="auto"/>
        <w:rPr>
          <w:rFonts w:cs="Arial"/>
        </w:rPr>
      </w:pPr>
      <w:r>
        <w:rPr>
          <w:rFonts w:cs="Arial"/>
        </w:rPr>
        <w:t>l</w:t>
      </w:r>
      <w:r w:rsidR="00481788" w:rsidRPr="0090363B">
        <w:rPr>
          <w:rFonts w:cs="Arial"/>
        </w:rPr>
        <w:t>a branche</w:t>
      </w:r>
      <w:r w:rsidR="00E74A46" w:rsidRPr="0090363B">
        <w:rPr>
          <w:rFonts w:cs="Arial"/>
        </w:rPr>
        <w:t xml:space="preserve"> </w:t>
      </w:r>
      <w:r>
        <w:rPr>
          <w:rFonts w:cs="Arial"/>
        </w:rPr>
        <w:t>« </w:t>
      </w:r>
      <w:r w:rsidR="00E74A46" w:rsidRPr="0090363B">
        <w:rPr>
          <w:rFonts w:cs="Arial"/>
        </w:rPr>
        <w:t>assurances de personnes</w:t>
      </w:r>
      <w:r>
        <w:rPr>
          <w:rFonts w:cs="Arial"/>
        </w:rPr>
        <w:t> »</w:t>
      </w:r>
      <w:r w:rsidR="00E74A46" w:rsidRPr="0090363B">
        <w:rPr>
          <w:rFonts w:cs="Arial"/>
        </w:rPr>
        <w:t xml:space="preserve"> </w:t>
      </w:r>
      <w:r w:rsidR="008A03A2" w:rsidRPr="0090363B">
        <w:rPr>
          <w:rFonts w:cs="Arial"/>
        </w:rPr>
        <w:t>avec</w:t>
      </w:r>
      <w:r w:rsidR="00E74A46" w:rsidRPr="0090363B">
        <w:rPr>
          <w:rFonts w:cs="Arial"/>
        </w:rPr>
        <w:t xml:space="preserve"> une évolution de 2</w:t>
      </w:r>
      <w:r w:rsidR="00AE343E">
        <w:rPr>
          <w:rFonts w:cs="Arial"/>
        </w:rPr>
        <w:t>4</w:t>
      </w:r>
      <w:r w:rsidR="00E74A46" w:rsidRPr="0090363B">
        <w:rPr>
          <w:rFonts w:cs="Arial"/>
        </w:rPr>
        <w:t>,</w:t>
      </w:r>
      <w:r w:rsidR="00AE343E">
        <w:rPr>
          <w:rFonts w:cs="Arial"/>
        </w:rPr>
        <w:t>6</w:t>
      </w:r>
      <w:r w:rsidR="00E74A46" w:rsidRPr="0090363B">
        <w:rPr>
          <w:rFonts w:cs="Arial"/>
        </w:rPr>
        <w:t>% contribu</w:t>
      </w:r>
      <w:r w:rsidR="00481788" w:rsidRPr="0090363B">
        <w:rPr>
          <w:rFonts w:cs="Arial"/>
        </w:rPr>
        <w:t>e</w:t>
      </w:r>
      <w:r w:rsidR="00AE343E">
        <w:rPr>
          <w:rFonts w:cs="Arial"/>
        </w:rPr>
        <w:t xml:space="preserve"> à hauteur de 43</w:t>
      </w:r>
      <w:r w:rsidR="006F0479">
        <w:rPr>
          <w:rFonts w:cs="Arial"/>
        </w:rPr>
        <w:t>,5</w:t>
      </w:r>
      <w:r w:rsidR="00E74A46" w:rsidRPr="0090363B">
        <w:rPr>
          <w:rFonts w:cs="Arial"/>
        </w:rPr>
        <w:t>% à la production additionnelle</w:t>
      </w:r>
      <w:r w:rsidR="0090363B">
        <w:rPr>
          <w:rFonts w:cs="Arial"/>
        </w:rPr>
        <w:t>, tirée essentiellement de l’assurance « groupe »</w:t>
      </w:r>
      <w:r w:rsidR="00E74A46" w:rsidRPr="0090363B">
        <w:rPr>
          <w:rFonts w:cs="Arial"/>
        </w:rPr>
        <w:t>.</w:t>
      </w:r>
    </w:p>
    <w:p w:rsidR="00212B3D" w:rsidRPr="00EF7E4F" w:rsidRDefault="00254DCB" w:rsidP="00254DCB">
      <w:pPr>
        <w:numPr>
          <w:ilvl w:val="0"/>
          <w:numId w:val="17"/>
        </w:numPr>
        <w:spacing w:line="240" w:lineRule="auto"/>
        <w:rPr>
          <w:rFonts w:cs="Arial"/>
        </w:rPr>
      </w:pPr>
      <w:r>
        <w:rPr>
          <w:rFonts w:cs="Arial"/>
        </w:rPr>
        <w:t>l</w:t>
      </w:r>
      <w:r w:rsidR="00662A15">
        <w:rPr>
          <w:rFonts w:cs="Arial"/>
        </w:rPr>
        <w:t>a branche « risques a</w:t>
      </w:r>
      <w:r w:rsidR="00E74A46" w:rsidRPr="00E74A46">
        <w:rPr>
          <w:rFonts w:cs="Arial"/>
        </w:rPr>
        <w:t>gricoles » enregistr</w:t>
      </w:r>
      <w:r w:rsidR="00F90D34">
        <w:rPr>
          <w:rFonts w:cs="Arial"/>
        </w:rPr>
        <w:t>e</w:t>
      </w:r>
      <w:r w:rsidR="00E74A46" w:rsidRPr="00E74A46">
        <w:rPr>
          <w:rFonts w:cs="Arial"/>
        </w:rPr>
        <w:t xml:space="preserve"> une évolution importante de l’ordre de 1</w:t>
      </w:r>
      <w:r w:rsidR="00517115">
        <w:rPr>
          <w:rFonts w:cs="Arial"/>
        </w:rPr>
        <w:t>8,5</w:t>
      </w:r>
      <w:r w:rsidR="00E74A46" w:rsidRPr="00E74A46">
        <w:rPr>
          <w:rFonts w:cs="Arial"/>
        </w:rPr>
        <w:t>%</w:t>
      </w:r>
      <w:r>
        <w:rPr>
          <w:rFonts w:cs="Arial"/>
        </w:rPr>
        <w:t>. C</w:t>
      </w:r>
      <w:r w:rsidR="00481788" w:rsidRPr="00254DCB">
        <w:rPr>
          <w:rFonts w:cs="Arial"/>
        </w:rPr>
        <w:t xml:space="preserve">ette évolution s’explique </w:t>
      </w:r>
      <w:r w:rsidR="00E74A46" w:rsidRPr="00254DCB">
        <w:rPr>
          <w:rFonts w:cs="Arial"/>
        </w:rPr>
        <w:t xml:space="preserve"> </w:t>
      </w:r>
      <w:r w:rsidR="00481788" w:rsidRPr="00254DCB">
        <w:rPr>
          <w:rFonts w:cs="Arial"/>
        </w:rPr>
        <w:t>par</w:t>
      </w:r>
      <w:r w:rsidR="00E74A46" w:rsidRPr="00254DCB">
        <w:rPr>
          <w:rFonts w:cs="Arial"/>
        </w:rPr>
        <w:t xml:space="preserve"> l’augmentation  </w:t>
      </w:r>
      <w:r w:rsidR="003A2C35">
        <w:rPr>
          <w:rFonts w:cs="Arial"/>
        </w:rPr>
        <w:t>de 5</w:t>
      </w:r>
      <w:r w:rsidR="00517115">
        <w:rPr>
          <w:rFonts w:cs="Arial"/>
        </w:rPr>
        <w:t>2,5</w:t>
      </w:r>
      <w:r w:rsidR="00481788" w:rsidRPr="00254DCB">
        <w:rPr>
          <w:rFonts w:cs="Arial"/>
        </w:rPr>
        <w:t xml:space="preserve">% </w:t>
      </w:r>
      <w:r w:rsidR="00E74A46" w:rsidRPr="00254DCB">
        <w:rPr>
          <w:rFonts w:cs="Arial"/>
        </w:rPr>
        <w:t xml:space="preserve">du chiffre d’affaires </w:t>
      </w:r>
      <w:r w:rsidR="00481788" w:rsidRPr="00254DCB">
        <w:rPr>
          <w:rFonts w:cs="Arial"/>
        </w:rPr>
        <w:t>« production</w:t>
      </w:r>
      <w:r w:rsidR="00E74A46" w:rsidRPr="00254DCB">
        <w:rPr>
          <w:rFonts w:cs="Arial"/>
        </w:rPr>
        <w:t xml:space="preserve"> animale</w:t>
      </w:r>
      <w:r w:rsidR="00481788" w:rsidRPr="00254DCB">
        <w:rPr>
          <w:rFonts w:cs="Arial"/>
        </w:rPr>
        <w:t> </w:t>
      </w:r>
      <w:r w:rsidR="00481788" w:rsidRPr="00EF7E4F">
        <w:rPr>
          <w:rFonts w:cs="Arial"/>
        </w:rPr>
        <w:t>»</w:t>
      </w:r>
      <w:r w:rsidR="00E74A46" w:rsidRPr="00EF7E4F">
        <w:rPr>
          <w:rFonts w:cs="Arial"/>
        </w:rPr>
        <w:t xml:space="preserve"> </w:t>
      </w:r>
      <w:r w:rsidR="00E45768" w:rsidRPr="00E45768">
        <w:rPr>
          <w:rFonts w:cs="Arial"/>
        </w:rPr>
        <w:t>et de 43,1%  du « matériel agricole » qui détient 31,7% de part dans la branche</w:t>
      </w:r>
      <w:r w:rsidR="00E74A46" w:rsidRPr="00EF7E4F">
        <w:rPr>
          <w:rFonts w:cs="Arial"/>
        </w:rPr>
        <w:t xml:space="preserve">. </w:t>
      </w:r>
    </w:p>
    <w:p w:rsidR="00B64433" w:rsidRPr="008D2996" w:rsidRDefault="00254DCB" w:rsidP="00B64433">
      <w:pPr>
        <w:numPr>
          <w:ilvl w:val="0"/>
          <w:numId w:val="17"/>
        </w:numPr>
        <w:spacing w:line="240" w:lineRule="auto"/>
      </w:pPr>
      <w:r>
        <w:rPr>
          <w:rFonts w:cs="Arial"/>
        </w:rPr>
        <w:t>l</w:t>
      </w:r>
      <w:r w:rsidR="00E74A46" w:rsidRPr="00E74A46">
        <w:rPr>
          <w:rFonts w:cs="Arial"/>
        </w:rPr>
        <w:t>a branche « crédit interne» contribu</w:t>
      </w:r>
      <w:r w:rsidR="00F90D34">
        <w:rPr>
          <w:rFonts w:cs="Arial"/>
        </w:rPr>
        <w:t>e</w:t>
      </w:r>
      <w:r w:rsidR="00E74A46" w:rsidRPr="00E74A46">
        <w:rPr>
          <w:rFonts w:cs="Arial"/>
        </w:rPr>
        <w:t xml:space="preserve"> négativement à la production additionnelle (-12,7%), en raison de la baisse de sa production (-53,2%). </w:t>
      </w:r>
    </w:p>
    <w:p w:rsidR="00B64433" w:rsidRPr="008D2996" w:rsidRDefault="00254DCB" w:rsidP="00D906CD">
      <w:pPr>
        <w:spacing w:line="240" w:lineRule="auto"/>
        <w:ind w:left="360"/>
        <w:rPr>
          <w:rFonts w:cs="Arial"/>
        </w:rPr>
      </w:pPr>
      <w:r>
        <w:rPr>
          <w:rFonts w:cs="Arial"/>
        </w:rPr>
        <w:t xml:space="preserve">Les assurances des </w:t>
      </w:r>
      <w:r w:rsidR="00E74A46" w:rsidRPr="00E74A46">
        <w:rPr>
          <w:rFonts w:cs="Arial"/>
        </w:rPr>
        <w:t>crédit</w:t>
      </w:r>
      <w:r w:rsidR="00B630DE">
        <w:rPr>
          <w:rFonts w:cs="Arial"/>
        </w:rPr>
        <w:t>s</w:t>
      </w:r>
      <w:r w:rsidR="00E74A46" w:rsidRPr="00E74A46">
        <w:rPr>
          <w:rFonts w:cs="Arial"/>
        </w:rPr>
        <w:t xml:space="preserve"> aux particuliers (immobilier et consommation) conn</w:t>
      </w:r>
      <w:r w:rsidR="00F90D34">
        <w:rPr>
          <w:rFonts w:cs="Arial"/>
        </w:rPr>
        <w:t xml:space="preserve">aissent </w:t>
      </w:r>
      <w:r w:rsidR="00E74A46" w:rsidRPr="00E74A46">
        <w:rPr>
          <w:rFonts w:cs="Arial"/>
        </w:rPr>
        <w:t>des baisses</w:t>
      </w:r>
      <w:r w:rsidR="00D906CD">
        <w:rPr>
          <w:rFonts w:cs="Arial"/>
        </w:rPr>
        <w:t>. Pour le</w:t>
      </w:r>
      <w:r w:rsidR="00E74A46" w:rsidRPr="00E74A46">
        <w:rPr>
          <w:rFonts w:cs="Arial"/>
        </w:rPr>
        <w:t xml:space="preserve"> </w:t>
      </w:r>
      <w:r w:rsidR="00D906CD" w:rsidRPr="00E74A46">
        <w:rPr>
          <w:rFonts w:cs="Arial"/>
        </w:rPr>
        <w:t>crédit immobilier</w:t>
      </w:r>
      <w:r w:rsidR="00D906CD">
        <w:rPr>
          <w:rFonts w:cs="Arial"/>
        </w:rPr>
        <w:t>, la baisse est due</w:t>
      </w:r>
      <w:r w:rsidR="00D906CD" w:rsidRPr="00E74A46">
        <w:rPr>
          <w:rFonts w:cs="Arial"/>
        </w:rPr>
        <w:t xml:space="preserve"> </w:t>
      </w:r>
      <w:r w:rsidR="00D906CD">
        <w:rPr>
          <w:rFonts w:cs="Arial"/>
        </w:rPr>
        <w:t>au</w:t>
      </w:r>
      <w:r w:rsidR="00E74A46" w:rsidRPr="00E74A46">
        <w:rPr>
          <w:rFonts w:cs="Arial"/>
        </w:rPr>
        <w:t xml:space="preserve"> non renouvellement de conventions arrivées à échéance avec certaines banques et de la révision à la baisse des tarifs</w:t>
      </w:r>
      <w:r w:rsidR="00B630DE">
        <w:rPr>
          <w:rFonts w:cs="Arial"/>
        </w:rPr>
        <w:t>.</w:t>
      </w:r>
      <w:r w:rsidR="00E74A46" w:rsidRPr="00E74A46">
        <w:rPr>
          <w:rFonts w:cs="Arial"/>
        </w:rPr>
        <w:t xml:space="preserve"> </w:t>
      </w:r>
      <w:r w:rsidR="00B630DE">
        <w:rPr>
          <w:rFonts w:cs="Arial"/>
        </w:rPr>
        <w:t>C</w:t>
      </w:r>
      <w:r w:rsidR="00E74A46" w:rsidRPr="00E74A46">
        <w:rPr>
          <w:rFonts w:cs="Arial"/>
        </w:rPr>
        <w:t>oncernant le  crédit à la consommation, la régression est du</w:t>
      </w:r>
      <w:r w:rsidR="00B630DE">
        <w:rPr>
          <w:rFonts w:cs="Arial"/>
        </w:rPr>
        <w:t>e</w:t>
      </w:r>
      <w:r w:rsidR="00E74A46" w:rsidRPr="00E74A46">
        <w:rPr>
          <w:rFonts w:cs="Arial"/>
        </w:rPr>
        <w:t xml:space="preserve"> à </w:t>
      </w:r>
      <w:r w:rsidR="00D906CD">
        <w:rPr>
          <w:rFonts w:cs="Arial"/>
        </w:rPr>
        <w:t>sa</w:t>
      </w:r>
      <w:r w:rsidR="00E74A46" w:rsidRPr="00E74A46">
        <w:rPr>
          <w:rFonts w:cs="Arial"/>
        </w:rPr>
        <w:t xml:space="preserve"> suppression en 2009.</w:t>
      </w:r>
      <w:r w:rsidR="00D906CD">
        <w:rPr>
          <w:rFonts w:cs="Arial"/>
        </w:rPr>
        <w:t xml:space="preserve"> </w:t>
      </w:r>
      <w:r w:rsidR="00E74A46" w:rsidRPr="00E74A46">
        <w:rPr>
          <w:rFonts w:cs="Arial"/>
        </w:rPr>
        <w:t xml:space="preserve">Ces baisses </w:t>
      </w:r>
      <w:r w:rsidR="00B630DE">
        <w:rPr>
          <w:rFonts w:cs="Arial"/>
        </w:rPr>
        <w:t>sont</w:t>
      </w:r>
      <w:r w:rsidR="00E74A46" w:rsidRPr="00E74A46">
        <w:rPr>
          <w:rFonts w:cs="Arial"/>
        </w:rPr>
        <w:t xml:space="preserve"> amoindries par l’assurance « crédit inter</w:t>
      </w:r>
      <w:r w:rsidR="00B630DE">
        <w:rPr>
          <w:rFonts w:cs="Arial"/>
        </w:rPr>
        <w:t xml:space="preserve"> </w:t>
      </w:r>
      <w:r w:rsidR="00E74A46" w:rsidRPr="00E74A46">
        <w:rPr>
          <w:rFonts w:cs="Arial"/>
        </w:rPr>
        <w:t>entreprises »  commercialisé</w:t>
      </w:r>
      <w:r w:rsidR="00B630DE">
        <w:rPr>
          <w:rFonts w:cs="Arial"/>
        </w:rPr>
        <w:t>e</w:t>
      </w:r>
      <w:r w:rsidR="00E74A46" w:rsidRPr="00E74A46">
        <w:rPr>
          <w:rFonts w:cs="Arial"/>
        </w:rPr>
        <w:t xml:space="preserve"> par la CAGEX.</w:t>
      </w:r>
    </w:p>
    <w:p w:rsidR="00B64433" w:rsidRPr="008D2996" w:rsidRDefault="00E74A46" w:rsidP="00D906CD">
      <w:pPr>
        <w:ind w:left="426"/>
      </w:pPr>
      <w:r w:rsidRPr="00E74A46">
        <w:t>La branche « </w:t>
      </w:r>
      <w:r w:rsidR="006F0479">
        <w:t>c</w:t>
      </w:r>
      <w:r w:rsidRPr="00E74A46">
        <w:t xml:space="preserve">rédit à l’exportation » </w:t>
      </w:r>
      <w:r w:rsidR="00D906CD">
        <w:t>connait</w:t>
      </w:r>
      <w:r w:rsidRPr="00E74A46">
        <w:t xml:space="preserve"> une hausse de 42</w:t>
      </w:r>
      <w:r w:rsidR="00A45844">
        <w:t>,1</w:t>
      </w:r>
      <w:r w:rsidRPr="00E74A46">
        <w:t>%</w:t>
      </w:r>
      <w:r w:rsidR="00D906CD">
        <w:t>. Elle</w:t>
      </w:r>
      <w:r w:rsidR="00D906CD" w:rsidRPr="00E74A46">
        <w:t xml:space="preserve"> contribue</w:t>
      </w:r>
      <w:r w:rsidRPr="00E74A46">
        <w:t xml:space="preserve"> à la production additionnelle à hauteur de 0,5% et représente 0,1% de la production totale.</w:t>
      </w:r>
    </w:p>
    <w:p w:rsidR="00B64433" w:rsidRPr="008D2996" w:rsidRDefault="00254DCB" w:rsidP="00D906CD">
      <w:pPr>
        <w:numPr>
          <w:ilvl w:val="0"/>
          <w:numId w:val="17"/>
        </w:numPr>
        <w:spacing w:line="240" w:lineRule="auto"/>
        <w:rPr>
          <w:rFonts w:cs="Arial"/>
        </w:rPr>
      </w:pPr>
      <w:r>
        <w:rPr>
          <w:rFonts w:cs="Arial"/>
        </w:rPr>
        <w:t>a</w:t>
      </w:r>
      <w:r w:rsidR="00D906CD">
        <w:rPr>
          <w:rFonts w:cs="Arial"/>
        </w:rPr>
        <w:t xml:space="preserve">vec </w:t>
      </w:r>
      <w:r w:rsidR="00D906CD" w:rsidRPr="00E74A46">
        <w:rPr>
          <w:rFonts w:cs="Arial"/>
        </w:rPr>
        <w:t>une baisse de 1</w:t>
      </w:r>
      <w:r w:rsidR="00A45844">
        <w:rPr>
          <w:rFonts w:cs="Arial"/>
        </w:rPr>
        <w:t>7,9</w:t>
      </w:r>
      <w:r w:rsidR="00D906CD" w:rsidRPr="00E74A46">
        <w:rPr>
          <w:rFonts w:cs="Arial"/>
        </w:rPr>
        <w:t>%</w:t>
      </w:r>
      <w:r w:rsidR="00D906CD">
        <w:rPr>
          <w:rFonts w:cs="Arial"/>
        </w:rPr>
        <w:t>, l</w:t>
      </w:r>
      <w:r w:rsidR="00E74A46" w:rsidRPr="00E74A46">
        <w:rPr>
          <w:rFonts w:cs="Arial"/>
        </w:rPr>
        <w:t>es « acceptations internationales » contribu</w:t>
      </w:r>
      <w:r w:rsidR="00F90D34">
        <w:rPr>
          <w:rFonts w:cs="Arial"/>
        </w:rPr>
        <w:t>e</w:t>
      </w:r>
      <w:r w:rsidR="00D906CD">
        <w:rPr>
          <w:rFonts w:cs="Arial"/>
        </w:rPr>
        <w:t>nt</w:t>
      </w:r>
      <w:r w:rsidR="00E74A46" w:rsidRPr="00E74A46">
        <w:rPr>
          <w:rFonts w:cs="Arial"/>
        </w:rPr>
        <w:t xml:space="preserve"> négativement à la production additionnelle (-4,3%). </w:t>
      </w:r>
    </w:p>
    <w:p w:rsidR="00335215" w:rsidRPr="008D2996" w:rsidRDefault="003A6049" w:rsidP="00335215">
      <w:pPr>
        <w:spacing w:line="240" w:lineRule="auto"/>
        <w:rPr>
          <w:rFonts w:cs="Arial"/>
        </w:rPr>
      </w:pPr>
      <w:r>
        <w:rPr>
          <w:noProof/>
        </w:rPr>
        <w:lastRenderedPageBreak/>
        <w:drawing>
          <wp:inline distT="0" distB="0" distL="0" distR="0">
            <wp:extent cx="6120765" cy="5134840"/>
            <wp:effectExtent l="19050" t="0" r="0" b="0"/>
            <wp:docPr id="2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120765" cy="5134840"/>
                    </a:xfrm>
                    <a:prstGeom prst="rect">
                      <a:avLst/>
                    </a:prstGeom>
                    <a:noFill/>
                    <a:ln w="9525">
                      <a:noFill/>
                      <a:miter lim="800000"/>
                      <a:headEnd/>
                      <a:tailEnd/>
                    </a:ln>
                  </pic:spPr>
                </pic:pic>
              </a:graphicData>
            </a:graphic>
          </wp:inline>
        </w:drawing>
      </w:r>
    </w:p>
    <w:p w:rsidR="00335215" w:rsidRPr="008D2996" w:rsidRDefault="00335215" w:rsidP="00335215">
      <w:pPr>
        <w:spacing w:line="240" w:lineRule="auto"/>
        <w:rPr>
          <w:rFonts w:cs="Arial"/>
        </w:rPr>
      </w:pPr>
    </w:p>
    <w:p w:rsidR="00335215" w:rsidRPr="008D2996" w:rsidRDefault="00335215" w:rsidP="00335215">
      <w:pPr>
        <w:spacing w:line="240" w:lineRule="auto"/>
        <w:rPr>
          <w:rFonts w:cs="Arial"/>
        </w:rPr>
      </w:pPr>
    </w:p>
    <w:p w:rsidR="00335215" w:rsidRPr="008D2996" w:rsidRDefault="00335215" w:rsidP="00335215">
      <w:pPr>
        <w:spacing w:line="240" w:lineRule="auto"/>
        <w:rPr>
          <w:rFonts w:cs="Arial"/>
        </w:rPr>
      </w:pPr>
    </w:p>
    <w:p w:rsidR="00287A7E" w:rsidRPr="008D2996" w:rsidRDefault="00287A7E" w:rsidP="00287A7E">
      <w:pPr>
        <w:spacing w:line="240" w:lineRule="auto"/>
        <w:rPr>
          <w:highlight w:val="yellow"/>
        </w:rPr>
      </w:pPr>
    </w:p>
    <w:p w:rsidR="008150C8" w:rsidRPr="008D2996" w:rsidRDefault="00E74A46">
      <w:pPr>
        <w:spacing w:after="0" w:line="240" w:lineRule="auto"/>
        <w:jc w:val="left"/>
        <w:rPr>
          <w:b/>
          <w:bCs/>
          <w:highlight w:val="yellow"/>
        </w:rPr>
      </w:pPr>
      <w:r w:rsidRPr="00E74A46">
        <w:rPr>
          <w:highlight w:val="yellow"/>
        </w:rPr>
        <w:br w:type="page"/>
      </w:r>
    </w:p>
    <w:p w:rsidR="00D3432D" w:rsidRPr="008D2996" w:rsidRDefault="00D3432D" w:rsidP="00D3432D">
      <w:pPr>
        <w:rPr>
          <w:highlight w:val="yellow"/>
        </w:rPr>
      </w:pPr>
    </w:p>
    <w:p w:rsidR="00E47D96" w:rsidRPr="008D2996" w:rsidRDefault="00E74A46" w:rsidP="00BE060F">
      <w:pPr>
        <w:pStyle w:val="Titre3"/>
        <w:spacing w:line="360" w:lineRule="auto"/>
      </w:pPr>
      <w:bookmarkStart w:id="143" w:name="_Toc177110625"/>
      <w:bookmarkStart w:id="144" w:name="_Toc326155981"/>
      <w:bookmarkStart w:id="145" w:name="_Toc327883420"/>
      <w:bookmarkStart w:id="146" w:name="_Toc327883600"/>
      <w:bookmarkStart w:id="147" w:name="_Toc327883944"/>
      <w:bookmarkStart w:id="148" w:name="_Toc327884454"/>
      <w:bookmarkStart w:id="149" w:name="_Toc327885006"/>
      <w:bookmarkStart w:id="150" w:name="_Toc327885590"/>
      <w:bookmarkStart w:id="151" w:name="_Toc327916517"/>
      <w:r w:rsidRPr="00E74A46">
        <w:t>Analyse par compagnie :</w:t>
      </w:r>
      <w:bookmarkEnd w:id="143"/>
      <w:bookmarkEnd w:id="144"/>
      <w:bookmarkEnd w:id="145"/>
      <w:bookmarkEnd w:id="146"/>
      <w:bookmarkEnd w:id="147"/>
      <w:bookmarkEnd w:id="148"/>
      <w:bookmarkEnd w:id="149"/>
      <w:bookmarkEnd w:id="150"/>
      <w:bookmarkEnd w:id="151"/>
    </w:p>
    <w:p w:rsidR="006158F4" w:rsidRPr="008D2996" w:rsidRDefault="00E74A46">
      <w:pPr>
        <w:spacing w:before="120" w:line="288" w:lineRule="auto"/>
      </w:pPr>
      <w:r w:rsidRPr="00E74A46">
        <w:t>Les contributions des sociétés à cette production a</w:t>
      </w:r>
      <w:r w:rsidR="004C495C">
        <w:t>dditionnelle sont récapitulées ci-</w:t>
      </w:r>
      <w:r w:rsidRPr="00E74A46">
        <w:t>après :</w:t>
      </w:r>
    </w:p>
    <w:p w:rsidR="00335215" w:rsidRPr="008D2996" w:rsidRDefault="004C495C" w:rsidP="00335215">
      <w:pPr>
        <w:spacing w:before="120" w:line="288" w:lineRule="auto"/>
        <w:jc w:val="center"/>
        <w:rPr>
          <w:highlight w:val="yellow"/>
        </w:rPr>
      </w:pPr>
      <w:r w:rsidRPr="004C495C">
        <w:rPr>
          <w:noProof/>
        </w:rPr>
        <w:drawing>
          <wp:inline distT="0" distB="0" distL="0" distR="0">
            <wp:extent cx="6118386" cy="4883972"/>
            <wp:effectExtent l="1905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120765" cy="4885871"/>
                    </a:xfrm>
                    <a:prstGeom prst="rect">
                      <a:avLst/>
                    </a:prstGeom>
                    <a:noFill/>
                    <a:ln w="9525">
                      <a:noFill/>
                      <a:miter lim="800000"/>
                      <a:headEnd/>
                      <a:tailEnd/>
                    </a:ln>
                  </pic:spPr>
                </pic:pic>
              </a:graphicData>
            </a:graphic>
          </wp:inline>
        </w:drawing>
      </w:r>
    </w:p>
    <w:p w:rsidR="00C71539" w:rsidRPr="008D2996" w:rsidRDefault="00C71539">
      <w:pPr>
        <w:spacing w:line="288" w:lineRule="auto"/>
        <w:rPr>
          <w:sz w:val="20"/>
        </w:rPr>
      </w:pPr>
    </w:p>
    <w:p w:rsidR="006158F4" w:rsidRPr="000D244C" w:rsidRDefault="00E74A46">
      <w:pPr>
        <w:spacing w:line="288" w:lineRule="auto"/>
      </w:pPr>
      <w:r w:rsidRPr="000D244C">
        <w:t xml:space="preserve">Avec une part de marché de </w:t>
      </w:r>
      <w:r w:rsidR="00800F88">
        <w:t>75</w:t>
      </w:r>
      <w:r w:rsidR="00F66705">
        <w:t>,0</w:t>
      </w:r>
      <w:r w:rsidRPr="000D244C">
        <w:t xml:space="preserve">% et une évolution d’ordre de </w:t>
      </w:r>
      <w:r w:rsidR="004F1EED">
        <w:t>1,6</w:t>
      </w:r>
      <w:r w:rsidRPr="000D244C">
        <w:t>%, le secteur public  participe à raison de   949 millions de dinars dans la production additionnelle totale du secteur, soit un taux de contribution de 29</w:t>
      </w:r>
      <w:r w:rsidR="004F1EED">
        <w:t>,1</w:t>
      </w:r>
      <w:r w:rsidRPr="000D244C">
        <w:t>%.</w:t>
      </w:r>
    </w:p>
    <w:p w:rsidR="006158F4" w:rsidRPr="000D244C" w:rsidRDefault="00E74A46" w:rsidP="00EA23FE">
      <w:pPr>
        <w:spacing w:line="288" w:lineRule="auto"/>
      </w:pPr>
      <w:r w:rsidRPr="000D244C">
        <w:t>Malgré  une  part de marché de 25</w:t>
      </w:r>
      <w:r w:rsidR="004F1EED">
        <w:t>,</w:t>
      </w:r>
      <w:r w:rsidR="00800F88">
        <w:t>0</w:t>
      </w:r>
      <w:r w:rsidRPr="000D244C">
        <w:t>%, le secteur privé participe à la production additionnelle à hauteur de 7</w:t>
      </w:r>
      <w:r w:rsidR="004F1EED">
        <w:t>0,9</w:t>
      </w:r>
      <w:r w:rsidRPr="000D244C">
        <w:t>%, soit 2 316 millions de DA.</w:t>
      </w:r>
    </w:p>
    <w:p w:rsidR="006158F4" w:rsidRPr="000D244C" w:rsidRDefault="00E74A46">
      <w:pPr>
        <w:spacing w:line="288" w:lineRule="auto"/>
      </w:pPr>
      <w:r w:rsidRPr="000D244C">
        <w:t xml:space="preserve">Cette forte contribution est la conséquence du taux élevé d’évolution qui est de </w:t>
      </w:r>
      <w:r w:rsidRPr="008F1F18">
        <w:t>1</w:t>
      </w:r>
      <w:r w:rsidR="004F1EED">
        <w:t>2,8</w:t>
      </w:r>
      <w:r w:rsidRPr="008F1F18">
        <w:t>%</w:t>
      </w:r>
      <w:r w:rsidRPr="000D244C">
        <w:t xml:space="preserve"> du secteur privé.</w:t>
      </w:r>
    </w:p>
    <w:p w:rsidR="00C95051" w:rsidRPr="008D2996" w:rsidRDefault="00E74A46">
      <w:pPr>
        <w:pStyle w:val="Titre1"/>
      </w:pPr>
      <w:bookmarkStart w:id="152" w:name="_Toc177110626"/>
      <w:r w:rsidRPr="00E74A46">
        <w:lastRenderedPageBreak/>
        <w:t xml:space="preserve"> </w:t>
      </w:r>
      <w:bookmarkStart w:id="153" w:name="_Toc326155982"/>
      <w:bookmarkStart w:id="154" w:name="_Toc327883421"/>
      <w:bookmarkStart w:id="155" w:name="_Toc327916518"/>
      <w:r w:rsidR="00687011">
        <w:t xml:space="preserve">structure et </w:t>
      </w:r>
      <w:r w:rsidRPr="00E74A46">
        <w:t>parts de marché</w:t>
      </w:r>
      <w:bookmarkEnd w:id="152"/>
      <w:bookmarkEnd w:id="153"/>
      <w:bookmarkEnd w:id="154"/>
      <w:bookmarkEnd w:id="155"/>
    </w:p>
    <w:p w:rsidR="00287A7E" w:rsidRPr="00597DD4" w:rsidRDefault="00291782" w:rsidP="00287A7E">
      <w:pPr>
        <w:pStyle w:val="Titre3"/>
        <w:rPr>
          <w:color w:val="0000FF"/>
          <w:sz w:val="20"/>
        </w:rPr>
      </w:pPr>
      <w:bookmarkStart w:id="156" w:name="_Toc326155983"/>
      <w:bookmarkStart w:id="157" w:name="_Toc327883422"/>
      <w:bookmarkStart w:id="158" w:name="_Toc327883602"/>
      <w:bookmarkStart w:id="159" w:name="_Toc327883946"/>
      <w:bookmarkStart w:id="160" w:name="_Toc327885008"/>
      <w:bookmarkStart w:id="161" w:name="_Toc327885592"/>
      <w:bookmarkStart w:id="162" w:name="_Toc327916519"/>
      <w:r w:rsidRPr="00291782">
        <w:rPr>
          <w:b w:val="0"/>
          <w:bCs w:val="0"/>
          <w:szCs w:val="24"/>
        </w:rPr>
        <w:t xml:space="preserve">L’année 2010 </w:t>
      </w:r>
      <w:r w:rsidR="003C61A8">
        <w:rPr>
          <w:b w:val="0"/>
          <w:bCs w:val="0"/>
          <w:szCs w:val="24"/>
        </w:rPr>
        <w:t>ne connaît pas</w:t>
      </w:r>
      <w:r w:rsidRPr="00291782">
        <w:rPr>
          <w:b w:val="0"/>
          <w:bCs w:val="0"/>
          <w:szCs w:val="24"/>
        </w:rPr>
        <w:t xml:space="preserve"> de grands bouleversements dans la répartition des parts de marché</w:t>
      </w:r>
      <w:r w:rsidRPr="00291782">
        <w:rPr>
          <w:sz w:val="20"/>
        </w:rPr>
        <w:t xml:space="preserve"> </w:t>
      </w:r>
      <w:r w:rsidRPr="00291782">
        <w:rPr>
          <w:b w:val="0"/>
          <w:szCs w:val="24"/>
        </w:rPr>
        <w:t>par</w:t>
      </w:r>
      <w:r w:rsidRPr="00291782">
        <w:rPr>
          <w:bCs w:val="0"/>
          <w:szCs w:val="24"/>
        </w:rPr>
        <w:t xml:space="preserve"> </w:t>
      </w:r>
      <w:r w:rsidRPr="00291782">
        <w:rPr>
          <w:b w:val="0"/>
          <w:bCs w:val="0"/>
          <w:szCs w:val="24"/>
        </w:rPr>
        <w:t>branche</w:t>
      </w:r>
      <w:r w:rsidRPr="00291782">
        <w:rPr>
          <w:szCs w:val="24"/>
        </w:rPr>
        <w:t xml:space="preserve"> </w:t>
      </w:r>
      <w:r w:rsidRPr="00291782">
        <w:rPr>
          <w:b w:val="0"/>
          <w:szCs w:val="24"/>
        </w:rPr>
        <w:t>et par société</w:t>
      </w:r>
      <w:r w:rsidRPr="00291782">
        <w:rPr>
          <w:szCs w:val="24"/>
        </w:rPr>
        <w:t>.</w:t>
      </w:r>
      <w:r w:rsidRPr="00291782">
        <w:rPr>
          <w:b w:val="0"/>
          <w:bCs w:val="0"/>
          <w:szCs w:val="24"/>
        </w:rPr>
        <w:t xml:space="preserve"> </w:t>
      </w:r>
      <w:r w:rsidR="00B611F7">
        <w:rPr>
          <w:b w:val="0"/>
          <w:bCs w:val="0"/>
          <w:color w:val="0000FF"/>
          <w:sz w:val="20"/>
        </w:rPr>
        <w:t>(</w:t>
      </w:r>
      <w:r w:rsidR="00C01E58">
        <w:rPr>
          <w:b w:val="0"/>
          <w:bCs w:val="0"/>
          <w:color w:val="0000FF"/>
          <w:sz w:val="20"/>
        </w:rPr>
        <w:t>Tableau</w:t>
      </w:r>
      <w:r w:rsidR="00B611F7">
        <w:rPr>
          <w:b w:val="0"/>
          <w:bCs w:val="0"/>
          <w:color w:val="0000FF"/>
          <w:sz w:val="20"/>
        </w:rPr>
        <w:t xml:space="preserve"> n°10.04</w:t>
      </w:r>
      <w:r w:rsidRPr="00291782">
        <w:rPr>
          <w:b w:val="0"/>
          <w:bCs w:val="0"/>
          <w:color w:val="0000FF"/>
          <w:sz w:val="20"/>
        </w:rPr>
        <w:t xml:space="preserve"> et graphe</w:t>
      </w:r>
      <w:r w:rsidR="00B611F7">
        <w:rPr>
          <w:b w:val="0"/>
          <w:bCs w:val="0"/>
          <w:color w:val="0000FF"/>
          <w:sz w:val="20"/>
        </w:rPr>
        <w:t xml:space="preserve"> n°</w:t>
      </w:r>
      <w:r w:rsidRPr="00291782">
        <w:rPr>
          <w:b w:val="0"/>
          <w:bCs w:val="0"/>
          <w:color w:val="0000FF"/>
          <w:sz w:val="20"/>
        </w:rPr>
        <w:t>10.02).</w:t>
      </w:r>
      <w:bookmarkEnd w:id="156"/>
      <w:bookmarkEnd w:id="157"/>
      <w:bookmarkEnd w:id="158"/>
      <w:bookmarkEnd w:id="159"/>
      <w:bookmarkEnd w:id="160"/>
      <w:bookmarkEnd w:id="161"/>
      <w:bookmarkEnd w:id="162"/>
    </w:p>
    <w:p w:rsidR="00287A7E" w:rsidRPr="008D2996" w:rsidRDefault="00B611F7" w:rsidP="00287A7E">
      <w:pPr>
        <w:rPr>
          <w:highlight w:val="yellow"/>
        </w:rPr>
      </w:pPr>
      <w:r w:rsidRPr="00B611F7">
        <w:rPr>
          <w:noProof/>
        </w:rPr>
        <w:drawing>
          <wp:inline distT="0" distB="0" distL="0" distR="0">
            <wp:extent cx="6120765" cy="3056904"/>
            <wp:effectExtent l="19050" t="0" r="0" b="0"/>
            <wp:docPr id="2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120765" cy="3056904"/>
                    </a:xfrm>
                    <a:prstGeom prst="rect">
                      <a:avLst/>
                    </a:prstGeom>
                    <a:noFill/>
                    <a:ln w="9525">
                      <a:noFill/>
                      <a:miter lim="800000"/>
                      <a:headEnd/>
                      <a:tailEnd/>
                    </a:ln>
                  </pic:spPr>
                </pic:pic>
              </a:graphicData>
            </a:graphic>
          </wp:inline>
        </w:drawing>
      </w:r>
    </w:p>
    <w:p w:rsidR="00740B40" w:rsidRDefault="00013D42" w:rsidP="00287A7E">
      <w:pPr>
        <w:pStyle w:val="Normalnoir"/>
        <w:spacing w:after="100" w:afterAutospacing="1"/>
        <w:jc w:val="center"/>
        <w:rPr>
          <w:color w:val="0000FF"/>
        </w:rPr>
      </w:pPr>
      <w:r>
        <w:rPr>
          <w:noProof/>
          <w:color w:val="0000FF"/>
        </w:rPr>
        <w:pict>
          <v:shapetype id="_x0000_t202" coordsize="21600,21600" o:spt="202" path="m,l,21600r21600,l21600,xe">
            <v:stroke joinstyle="miter"/>
            <v:path gradientshapeok="t" o:connecttype="rect"/>
          </v:shapetype>
          <v:shape id="_x0000_s1035" type="#_x0000_t202" style="position:absolute;left:0;text-align:left;margin-left:8.65pt;margin-top:15.05pt;width:119pt;height:21.25pt;z-index:251658240;mso-width-relative:margin;mso-height-relative:margin" strokecolor="white [3212]">
            <v:textbox style="mso-next-textbox:#_x0000_s1035">
              <w:txbxContent>
                <w:p w:rsidR="000A21C8" w:rsidRPr="007659BA" w:rsidRDefault="000A21C8" w:rsidP="00740B40">
                  <w:pPr>
                    <w:rPr>
                      <w:b/>
                    </w:rPr>
                  </w:pPr>
                  <w:r w:rsidRPr="00D53B24">
                    <w:rPr>
                      <w:b/>
                    </w:rPr>
                    <w:t>Graphe n°10-02</w:t>
                  </w:r>
                </w:p>
              </w:txbxContent>
            </v:textbox>
          </v:shape>
        </w:pict>
      </w:r>
    </w:p>
    <w:p w:rsidR="00740B40" w:rsidRPr="008D2996" w:rsidRDefault="00740B40" w:rsidP="00287A7E">
      <w:pPr>
        <w:pStyle w:val="Normalnoir"/>
        <w:spacing w:after="100" w:afterAutospacing="1"/>
        <w:jc w:val="center"/>
        <w:rPr>
          <w:color w:val="0000FF"/>
          <w:highlight w:val="yellow"/>
        </w:rPr>
      </w:pPr>
    </w:p>
    <w:p w:rsidR="00287A7E" w:rsidRPr="008D2996" w:rsidRDefault="00740B40" w:rsidP="00740B40">
      <w:pPr>
        <w:pStyle w:val="Normalnoir"/>
        <w:spacing w:after="100" w:afterAutospacing="1"/>
        <w:jc w:val="center"/>
        <w:rPr>
          <w:color w:val="0000FF"/>
          <w:highlight w:val="yellow"/>
        </w:rPr>
      </w:pPr>
      <w:r w:rsidRPr="00740B40">
        <w:rPr>
          <w:noProof/>
        </w:rPr>
        <w:drawing>
          <wp:inline distT="0" distB="0" distL="0" distR="0">
            <wp:extent cx="6122407" cy="3786692"/>
            <wp:effectExtent l="19050" t="0" r="0" b="0"/>
            <wp:docPr id="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120765" cy="3785676"/>
                    </a:xfrm>
                    <a:prstGeom prst="rect">
                      <a:avLst/>
                    </a:prstGeom>
                    <a:noFill/>
                    <a:ln w="9525">
                      <a:noFill/>
                      <a:miter lim="800000"/>
                      <a:headEnd/>
                      <a:tailEnd/>
                    </a:ln>
                  </pic:spPr>
                </pic:pic>
              </a:graphicData>
            </a:graphic>
          </wp:inline>
        </w:drawing>
      </w:r>
    </w:p>
    <w:p w:rsidR="00305F1D" w:rsidRPr="008D2996" w:rsidRDefault="00305F1D" w:rsidP="00287A7E">
      <w:pPr>
        <w:pStyle w:val="Normalnoir"/>
        <w:spacing w:after="100" w:afterAutospacing="1"/>
        <w:jc w:val="center"/>
        <w:rPr>
          <w:color w:val="0000FF"/>
          <w:highlight w:val="yellow"/>
        </w:rPr>
        <w:sectPr w:rsidR="00305F1D" w:rsidRPr="008D2996" w:rsidSect="00212B3D">
          <w:footnotePr>
            <w:numRestart w:val="eachPage"/>
          </w:footnotePr>
          <w:pgSz w:w="11906" w:h="16838" w:code="9"/>
          <w:pgMar w:top="1871" w:right="849" w:bottom="1304" w:left="1418" w:header="709" w:footer="709" w:gutter="0"/>
          <w:cols w:space="708"/>
          <w:docGrid w:linePitch="360"/>
        </w:sectPr>
      </w:pPr>
    </w:p>
    <w:p w:rsidR="00740B40" w:rsidRDefault="00740B40" w:rsidP="00EA23FE">
      <w:pPr>
        <w:pStyle w:val="Normalnoir"/>
        <w:spacing w:before="240" w:after="240"/>
      </w:pPr>
    </w:p>
    <w:p w:rsidR="0012021A" w:rsidRPr="008D2996" w:rsidRDefault="00E74A46" w:rsidP="00EA23FE">
      <w:pPr>
        <w:pStyle w:val="Normalnoir"/>
        <w:spacing w:before="240" w:after="240"/>
      </w:pPr>
      <w:r w:rsidRPr="00E74A46">
        <w:t>La SAA maintient sa position de leader en réalisant 24,</w:t>
      </w:r>
      <w:r w:rsidR="00771CDB">
        <w:t>6</w:t>
      </w:r>
      <w:r w:rsidRPr="00E74A46">
        <w:t>% de la production globale de 20</w:t>
      </w:r>
      <w:r w:rsidR="00B611F7">
        <w:t>10. Elle domine les branches « automobile », et « assurances de p</w:t>
      </w:r>
      <w:r w:rsidRPr="00E74A46">
        <w:t>ersonnes » avec des poids respectifs de 17,8% et 2</w:t>
      </w:r>
      <w:r w:rsidR="00D010A4">
        <w:t>,0</w:t>
      </w:r>
      <w:r w:rsidRPr="00E74A46">
        <w:t xml:space="preserve">%. </w:t>
      </w:r>
      <w:r w:rsidRPr="0069252B">
        <w:t>La CAAR, la CIAR et la CAAT, suivent de très loin avec des parts respectives de 6,1%, 5,3% et 5,2%</w:t>
      </w:r>
      <w:r w:rsidR="00EA23FE" w:rsidRPr="0069252B">
        <w:t>,</w:t>
      </w:r>
      <w:r w:rsidR="003C61A8" w:rsidRPr="0069252B">
        <w:t xml:space="preserve"> </w:t>
      </w:r>
      <w:r w:rsidR="00EA23FE" w:rsidRPr="0069252B">
        <w:t>en assurance « automobile »</w:t>
      </w:r>
      <w:r w:rsidRPr="0069252B">
        <w:t>.</w:t>
      </w:r>
    </w:p>
    <w:p w:rsidR="0012021A" w:rsidRPr="001216A6" w:rsidRDefault="00E74A46" w:rsidP="00F1760C">
      <w:pPr>
        <w:pStyle w:val="Normalnoir"/>
        <w:spacing w:before="240" w:after="240"/>
      </w:pPr>
      <w:r w:rsidRPr="001216A6">
        <w:rPr>
          <w:color w:val="000000" w:themeColor="text1"/>
        </w:rPr>
        <w:t>La CAAT gagne 0,2 point et se maintient</w:t>
      </w:r>
      <w:r w:rsidRPr="001216A6">
        <w:t xml:space="preserve"> à la deuxième position avec 17,</w:t>
      </w:r>
      <w:r w:rsidR="008241DC" w:rsidRPr="001216A6">
        <w:t>2</w:t>
      </w:r>
      <w:r w:rsidRPr="001216A6">
        <w:t>% de parts. Elle réalise des évolutions dans toutes les branches à l’except</w:t>
      </w:r>
      <w:r w:rsidR="00B611F7" w:rsidRPr="001216A6">
        <w:t>ion de la  branche «c</w:t>
      </w:r>
      <w:r w:rsidR="003C61A8" w:rsidRPr="001216A6">
        <w:t xml:space="preserve">rédit». L’entreprise </w:t>
      </w:r>
      <w:r w:rsidRPr="001216A6">
        <w:t xml:space="preserve">est leader dans la branche « IRD » avec une part de 27,2% </w:t>
      </w:r>
      <w:r w:rsidR="00F1760C" w:rsidRPr="001216A6">
        <w:t xml:space="preserve">.elle </w:t>
      </w:r>
      <w:r w:rsidR="00082E69">
        <w:t>occupe la première place</w:t>
      </w:r>
      <w:r w:rsidRPr="001216A6">
        <w:t xml:space="preserve"> </w:t>
      </w:r>
      <w:r w:rsidR="00F1760C" w:rsidRPr="001216A6">
        <w:t>en</w:t>
      </w:r>
      <w:r w:rsidR="00B611F7" w:rsidRPr="001216A6">
        <w:t xml:space="preserve"> « risques s</w:t>
      </w:r>
      <w:r w:rsidRPr="001216A6">
        <w:t xml:space="preserve">imples » et </w:t>
      </w:r>
      <w:r w:rsidR="00F1760C" w:rsidRPr="001216A6">
        <w:t xml:space="preserve">la </w:t>
      </w:r>
      <w:r w:rsidRPr="001216A6">
        <w:t xml:space="preserve">deuxième </w:t>
      </w:r>
      <w:r w:rsidR="00F1760C" w:rsidRPr="001216A6">
        <w:t>en</w:t>
      </w:r>
      <w:r w:rsidRPr="001216A6">
        <w:t xml:space="preserve"> « risques industriels ».  </w:t>
      </w:r>
    </w:p>
    <w:p w:rsidR="0012021A" w:rsidRPr="006C7ECE" w:rsidRDefault="00E74A46" w:rsidP="0012021A">
      <w:pPr>
        <w:pStyle w:val="Normalnoir"/>
        <w:spacing w:after="100" w:afterAutospacing="1"/>
      </w:pPr>
      <w:r w:rsidRPr="0048415B">
        <w:t>La CAAR occupe la troisième place avec 15,</w:t>
      </w:r>
      <w:r w:rsidR="00873EC4">
        <w:t>7</w:t>
      </w:r>
      <w:r w:rsidRPr="0048415B">
        <w:t>% de parts. Malgré une  production additionnel</w:t>
      </w:r>
      <w:r w:rsidR="00B611F7" w:rsidRPr="0048415B">
        <w:t>le négative  dans la branche « t</w:t>
      </w:r>
      <w:r w:rsidRPr="0048415B">
        <w:t xml:space="preserve">ransport », </w:t>
      </w:r>
      <w:r w:rsidRPr="006C7ECE">
        <w:t>e</w:t>
      </w:r>
      <w:r w:rsidR="006C7ECE" w:rsidRPr="006C7ECE">
        <w:t>lle détient une part de  33,2</w:t>
      </w:r>
      <w:r w:rsidRPr="006C7ECE">
        <w:t>%</w:t>
      </w:r>
      <w:r w:rsidR="006C7ECE" w:rsidRPr="006C7ECE">
        <w:t xml:space="preserve"> </w:t>
      </w:r>
      <w:r w:rsidRPr="006C7ECE">
        <w:t>(40,4% en 2009) dans la branche occupant ainsi la 1</w:t>
      </w:r>
      <w:r w:rsidRPr="006C7ECE">
        <w:rPr>
          <w:vertAlign w:val="superscript"/>
        </w:rPr>
        <w:t>ère</w:t>
      </w:r>
      <w:r w:rsidR="003C61A8" w:rsidRPr="006C7ECE">
        <w:t xml:space="preserve"> </w:t>
      </w:r>
      <w:r w:rsidRPr="006C7ECE">
        <w:t>position.</w:t>
      </w:r>
    </w:p>
    <w:p w:rsidR="00287A7E" w:rsidRPr="006C7ECE" w:rsidRDefault="00E74A46" w:rsidP="00287A7E">
      <w:pPr>
        <w:spacing w:after="100" w:afterAutospacing="1"/>
      </w:pPr>
      <w:r w:rsidRPr="006C7ECE">
        <w:t>La CASH perd 2,</w:t>
      </w:r>
      <w:r w:rsidR="006C7ECE" w:rsidRPr="006C7ECE">
        <w:t>1</w:t>
      </w:r>
      <w:r w:rsidRPr="006C7ECE">
        <w:t>% de parts de marché mais se maintient à la 4</w:t>
      </w:r>
      <w:r w:rsidRPr="006C7ECE">
        <w:rPr>
          <w:vertAlign w:val="superscript"/>
        </w:rPr>
        <w:t>ème</w:t>
      </w:r>
      <w:r w:rsidRPr="006C7ECE">
        <w:t xml:space="preserve"> position avec 9,2%. Elle conserve so</w:t>
      </w:r>
      <w:r w:rsidR="00B611F7" w:rsidRPr="006C7ECE">
        <w:t>n leadership dans la branche « risques i</w:t>
      </w:r>
      <w:r w:rsidRPr="006C7ECE">
        <w:t>ndustriels »</w:t>
      </w:r>
      <w:r w:rsidR="00A803BB" w:rsidRPr="006C7ECE">
        <w:t xml:space="preserve">, </w:t>
      </w:r>
      <w:r w:rsidRPr="006C7ECE">
        <w:t>pour la 5</w:t>
      </w:r>
      <w:r w:rsidRPr="006C7ECE">
        <w:rPr>
          <w:vertAlign w:val="superscript"/>
        </w:rPr>
        <w:t>ème</w:t>
      </w:r>
      <w:r w:rsidRPr="006C7ECE">
        <w:t xml:space="preserve"> année consécutive grâce à l’assurance des risques énergétiques et à la couverture de projets importants dans le domaine de l’engineering notamment. Elle </w:t>
      </w:r>
      <w:r w:rsidR="00304B4E" w:rsidRPr="006C7ECE">
        <w:t xml:space="preserve">enregistre </w:t>
      </w:r>
      <w:r w:rsidRPr="006C7ECE">
        <w:t>néanmoins une baisse de 22% dans cette branche.</w:t>
      </w:r>
    </w:p>
    <w:p w:rsidR="00287A7E" w:rsidRPr="009C38B5" w:rsidRDefault="00E74A46" w:rsidP="008C31D1">
      <w:pPr>
        <w:pStyle w:val="Normalnoir"/>
        <w:spacing w:after="100" w:afterAutospacing="1"/>
        <w:rPr>
          <w:szCs w:val="24"/>
        </w:rPr>
      </w:pPr>
      <w:r w:rsidRPr="009C38B5">
        <w:rPr>
          <w:szCs w:val="24"/>
        </w:rPr>
        <w:t>La CIAR, leader du secteur privé, avec une part de marché de 7,</w:t>
      </w:r>
      <w:r w:rsidR="009C38B5" w:rsidRPr="009C38B5">
        <w:rPr>
          <w:szCs w:val="24"/>
        </w:rPr>
        <w:t>3</w:t>
      </w:r>
      <w:r w:rsidRPr="009C38B5">
        <w:rPr>
          <w:szCs w:val="24"/>
        </w:rPr>
        <w:t>%</w:t>
      </w:r>
      <w:r w:rsidR="008C31D1" w:rsidRPr="009C38B5">
        <w:rPr>
          <w:szCs w:val="24"/>
        </w:rPr>
        <w:t xml:space="preserve"> </w:t>
      </w:r>
      <w:r w:rsidRPr="009C38B5">
        <w:rPr>
          <w:szCs w:val="24"/>
        </w:rPr>
        <w:t>(7,7% en 2009), conserve sa cinquième place occupée depuis 2006.</w:t>
      </w:r>
    </w:p>
    <w:p w:rsidR="00287A7E" w:rsidRPr="009C38B5" w:rsidRDefault="00E74A46" w:rsidP="00287A7E">
      <w:pPr>
        <w:pStyle w:val="Normalnoir"/>
        <w:spacing w:after="100" w:afterAutospacing="1"/>
        <w:rPr>
          <w:szCs w:val="24"/>
        </w:rPr>
      </w:pPr>
      <w:r w:rsidRPr="009C38B5">
        <w:rPr>
          <w:szCs w:val="24"/>
        </w:rPr>
        <w:t>La CNMA se maintient à la sixième place avec 7</w:t>
      </w:r>
      <w:r w:rsidR="00D010A4">
        <w:rPr>
          <w:szCs w:val="24"/>
        </w:rPr>
        <w:t>,0</w:t>
      </w:r>
      <w:r w:rsidRPr="009C38B5">
        <w:rPr>
          <w:szCs w:val="24"/>
        </w:rPr>
        <w:t>% de parts de marché contre 6,</w:t>
      </w:r>
      <w:r w:rsidR="009C38B5" w:rsidRPr="009C38B5">
        <w:rPr>
          <w:szCs w:val="24"/>
        </w:rPr>
        <w:t>3</w:t>
      </w:r>
      <w:r w:rsidRPr="009C38B5">
        <w:rPr>
          <w:szCs w:val="24"/>
        </w:rPr>
        <w:t>% en 2009. Elle demeure leader dans la branche « </w:t>
      </w:r>
      <w:r w:rsidR="00D010A4">
        <w:rPr>
          <w:szCs w:val="24"/>
        </w:rPr>
        <w:t>r</w:t>
      </w:r>
      <w:r w:rsidRPr="009C38B5">
        <w:rPr>
          <w:szCs w:val="24"/>
        </w:rPr>
        <w:t>isques agricoles » avec 82</w:t>
      </w:r>
      <w:r w:rsidR="00A92529">
        <w:rPr>
          <w:szCs w:val="24"/>
        </w:rPr>
        <w:t>,0</w:t>
      </w:r>
      <w:r w:rsidRPr="009C38B5">
        <w:rPr>
          <w:szCs w:val="24"/>
        </w:rPr>
        <w:t>% de parts du marché contre 79</w:t>
      </w:r>
      <w:r w:rsidR="00A92529">
        <w:rPr>
          <w:szCs w:val="24"/>
        </w:rPr>
        <w:t>,0</w:t>
      </w:r>
      <w:r w:rsidRPr="009C38B5">
        <w:rPr>
          <w:szCs w:val="24"/>
        </w:rPr>
        <w:t xml:space="preserve">% en 2009. </w:t>
      </w:r>
    </w:p>
    <w:p w:rsidR="00287A7E" w:rsidRPr="004A4B8A" w:rsidRDefault="00E74A46" w:rsidP="008C31D1">
      <w:pPr>
        <w:spacing w:after="100" w:afterAutospacing="1"/>
        <w:rPr>
          <w:szCs w:val="24"/>
        </w:rPr>
      </w:pPr>
      <w:r w:rsidRPr="009C38B5">
        <w:rPr>
          <w:szCs w:val="24"/>
        </w:rPr>
        <w:t xml:space="preserve">La CCR, seule </w:t>
      </w:r>
      <w:r w:rsidR="00B25116" w:rsidRPr="009C38B5">
        <w:rPr>
          <w:szCs w:val="24"/>
        </w:rPr>
        <w:t>société</w:t>
      </w:r>
      <w:r w:rsidRPr="009C38B5">
        <w:rPr>
          <w:szCs w:val="24"/>
        </w:rPr>
        <w:t xml:space="preserve"> à offrir des couvertures sur le marché international, marque une baisse de 1</w:t>
      </w:r>
      <w:r w:rsidR="00A92529">
        <w:rPr>
          <w:szCs w:val="24"/>
        </w:rPr>
        <w:t>7,9</w:t>
      </w:r>
      <w:r w:rsidRPr="009C38B5">
        <w:rPr>
          <w:szCs w:val="24"/>
        </w:rPr>
        <w:t>%</w:t>
      </w:r>
      <w:r w:rsidR="008C31D1" w:rsidRPr="009C38B5">
        <w:rPr>
          <w:szCs w:val="24"/>
        </w:rPr>
        <w:t xml:space="preserve"> en « acceptations internationales » </w:t>
      </w:r>
      <w:r w:rsidRPr="009C38B5">
        <w:rPr>
          <w:szCs w:val="24"/>
        </w:rPr>
        <w:t>comparativement à 2009</w:t>
      </w:r>
      <w:r w:rsidR="008C31D1" w:rsidRPr="009C38B5">
        <w:rPr>
          <w:szCs w:val="24"/>
        </w:rPr>
        <w:t xml:space="preserve">. </w:t>
      </w:r>
      <w:r w:rsidRPr="009C38B5">
        <w:rPr>
          <w:szCs w:val="24"/>
        </w:rPr>
        <w:t>Sa part de marché s’établit à 0,8%.</w:t>
      </w:r>
    </w:p>
    <w:p w:rsidR="005D0C05" w:rsidRPr="008D2996" w:rsidRDefault="005D0C05" w:rsidP="00ED20E7">
      <w:pPr>
        <w:rPr>
          <w:highlight w:val="yellow"/>
        </w:rPr>
      </w:pPr>
    </w:p>
    <w:p w:rsidR="004F6668" w:rsidRPr="008D2996" w:rsidRDefault="004F6668" w:rsidP="00ED20E7">
      <w:pPr>
        <w:rPr>
          <w:highlight w:val="yellow"/>
        </w:rPr>
        <w:sectPr w:rsidR="004F6668" w:rsidRPr="008D2996" w:rsidSect="004F6626">
          <w:footnotePr>
            <w:numRestart w:val="eachPage"/>
          </w:footnotePr>
          <w:type w:val="nextColumn"/>
          <w:pgSz w:w="11906" w:h="16838" w:code="9"/>
          <w:pgMar w:top="1871" w:right="991" w:bottom="1304" w:left="1418" w:header="709" w:footer="709" w:gutter="0"/>
          <w:cols w:space="708"/>
          <w:docGrid w:linePitch="360"/>
        </w:sectPr>
      </w:pPr>
    </w:p>
    <w:bookmarkStart w:id="163" w:name="_Toc327883423"/>
    <w:bookmarkStart w:id="164" w:name="_Toc327883603"/>
    <w:bookmarkStart w:id="165" w:name="_Toc327883947"/>
    <w:bookmarkStart w:id="166" w:name="_Toc326155984"/>
    <w:bookmarkStart w:id="167" w:name="_Toc177110631"/>
    <w:bookmarkEnd w:id="163"/>
    <w:bookmarkEnd w:id="164"/>
    <w:bookmarkEnd w:id="165"/>
    <w:p w:rsidR="003A6049" w:rsidRDefault="0060275F">
      <w:pPr>
        <w:rPr>
          <w:color w:val="000000"/>
        </w:rPr>
      </w:pPr>
      <w:r w:rsidRPr="00B834FC">
        <w:rPr>
          <w:color w:val="000000"/>
        </w:rPr>
        <w:object w:dxaOrig="15141" w:dyaOrig="10378">
          <v:shape id="_x0000_i1026" type="#_x0000_t75" style="width:513pt;height:341.25pt" o:ole="">
            <v:imagedata r:id="rId20" o:title=""/>
          </v:shape>
          <o:OLEObject Type="Embed" ProgID="Excel.Sheet.12" ShapeID="_x0000_i1026" DrawAspect="Content" ObjectID="_1402320638" r:id="rId21"/>
        </w:object>
      </w:r>
      <w:bookmarkEnd w:id="166"/>
    </w:p>
    <w:p w:rsidR="001A21CE" w:rsidRDefault="003A6049" w:rsidP="0060275F">
      <w:pPr>
        <w:rPr>
          <w:color w:val="000000"/>
        </w:rPr>
      </w:pPr>
      <w:r>
        <w:rPr>
          <w:noProof/>
        </w:rPr>
        <w:drawing>
          <wp:inline distT="0" distB="0" distL="0" distR="0">
            <wp:extent cx="6585865" cy="3724275"/>
            <wp:effectExtent l="0" t="0" r="0" b="0"/>
            <wp:docPr id="2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6591336" cy="3727369"/>
                    </a:xfrm>
                    <a:prstGeom prst="rect">
                      <a:avLst/>
                    </a:prstGeom>
                    <a:noFill/>
                    <a:ln w="9525">
                      <a:noFill/>
                      <a:miter lim="800000"/>
                      <a:headEnd/>
                      <a:tailEnd/>
                    </a:ln>
                  </pic:spPr>
                </pic:pic>
              </a:graphicData>
            </a:graphic>
          </wp:inline>
        </w:drawing>
      </w:r>
    </w:p>
    <w:p w:rsidR="00B42C51" w:rsidRPr="008D2996" w:rsidRDefault="00B25116" w:rsidP="00B42C51">
      <w:pPr>
        <w:pStyle w:val="Titre1"/>
        <w:spacing w:before="0"/>
        <w:rPr>
          <w:color w:val="000000"/>
        </w:rPr>
      </w:pPr>
      <w:bookmarkStart w:id="168" w:name="_Toc326155985"/>
      <w:bookmarkStart w:id="169" w:name="_Toc327883424"/>
      <w:bookmarkStart w:id="170" w:name="_Toc327916520"/>
      <w:r>
        <w:rPr>
          <w:color w:val="000000"/>
        </w:rPr>
        <w:lastRenderedPageBreak/>
        <w:t>TAUX DE PENETRATION ET DENSITE D’ASSURANCE</w:t>
      </w:r>
      <w:bookmarkEnd w:id="168"/>
      <w:bookmarkEnd w:id="169"/>
      <w:bookmarkEnd w:id="170"/>
      <w:r w:rsidR="00E74A46" w:rsidRPr="00E74A46">
        <w:rPr>
          <w:color w:val="000000"/>
        </w:rPr>
        <w:t xml:space="preserve"> </w:t>
      </w:r>
    </w:p>
    <w:p w:rsidR="00B42C51" w:rsidRPr="008D2996" w:rsidRDefault="00E74A46" w:rsidP="00B42C51">
      <w:pPr>
        <w:pStyle w:val="Titre2"/>
      </w:pPr>
      <w:bookmarkStart w:id="171" w:name="_Toc326155986"/>
      <w:bookmarkStart w:id="172" w:name="_Toc327883425"/>
      <w:bookmarkStart w:id="173" w:name="_Toc327883605"/>
      <w:bookmarkStart w:id="174" w:name="_Toc327883949"/>
      <w:bookmarkStart w:id="175" w:name="_Toc327884459"/>
      <w:bookmarkStart w:id="176" w:name="_Toc327885010"/>
      <w:bookmarkStart w:id="177" w:name="_Toc327885594"/>
      <w:bookmarkStart w:id="178" w:name="_Toc327916521"/>
      <w:r w:rsidRPr="00E74A46">
        <w:t>taux de pénétration</w:t>
      </w:r>
      <w:bookmarkEnd w:id="171"/>
      <w:bookmarkEnd w:id="172"/>
      <w:bookmarkEnd w:id="173"/>
      <w:bookmarkEnd w:id="174"/>
      <w:bookmarkEnd w:id="175"/>
      <w:bookmarkEnd w:id="176"/>
      <w:bookmarkEnd w:id="177"/>
      <w:bookmarkEnd w:id="178"/>
    </w:p>
    <w:p w:rsidR="00B42C51" w:rsidRPr="008D2996" w:rsidRDefault="00B25116" w:rsidP="00B42C51">
      <w:r w:rsidRPr="004C3211">
        <w:t>L</w:t>
      </w:r>
      <w:r w:rsidR="00E74A46" w:rsidRPr="004C3211">
        <w:t>e Produit Intérieur</w:t>
      </w:r>
      <w:r w:rsidRPr="004C3211">
        <w:t xml:space="preserve"> Brut</w:t>
      </w:r>
      <w:r w:rsidRPr="004C3211">
        <w:rPr>
          <w:rStyle w:val="Appelnotedebasdep"/>
        </w:rPr>
        <w:footnoteReference w:id="14"/>
      </w:r>
      <w:r w:rsidRPr="004C3211">
        <w:t xml:space="preserve"> </w:t>
      </w:r>
      <w:r w:rsidR="00EE0E51" w:rsidRPr="004C3211">
        <w:t xml:space="preserve">(PIB) </w:t>
      </w:r>
      <w:r w:rsidRPr="004C3211">
        <w:t>passe</w:t>
      </w:r>
      <w:r w:rsidR="00E74A46" w:rsidRPr="004C3211">
        <w:t xml:space="preserve"> de 1</w:t>
      </w:r>
      <w:r w:rsidR="004C3211" w:rsidRPr="004C3211">
        <w:t>0</w:t>
      </w:r>
      <w:r w:rsidR="00E74A46" w:rsidRPr="004C3211">
        <w:t> </w:t>
      </w:r>
      <w:r w:rsidR="00042950" w:rsidRPr="004C3211">
        <w:t>034</w:t>
      </w:r>
      <w:r w:rsidR="00E74A46" w:rsidRPr="004C3211">
        <w:t>,</w:t>
      </w:r>
      <w:r w:rsidR="00AC581F">
        <w:t>3</w:t>
      </w:r>
      <w:r w:rsidR="00E74A46" w:rsidRPr="004C3211">
        <w:t xml:space="preserve"> </w:t>
      </w:r>
      <w:r w:rsidR="009135A6">
        <w:t>milliard</w:t>
      </w:r>
      <w:r w:rsidR="00E74A46" w:rsidRPr="004C3211">
        <w:t xml:space="preserve"> de dinars en 2009 à 12 049,5 </w:t>
      </w:r>
      <w:r w:rsidR="009135A6">
        <w:t>milliard</w:t>
      </w:r>
      <w:r w:rsidR="00E74A46" w:rsidRPr="004C3211">
        <w:t xml:space="preserve"> de dinars </w:t>
      </w:r>
      <w:r w:rsidR="00042950" w:rsidRPr="004C3211">
        <w:t>en 2010, soit une hausse de 20,1</w:t>
      </w:r>
      <w:r w:rsidR="00E74A46" w:rsidRPr="004C3211">
        <w:t>%</w:t>
      </w:r>
      <w:r w:rsidR="00E74A46" w:rsidRPr="004C3211">
        <w:rPr>
          <w:color w:val="0000FF"/>
          <w:sz w:val="20"/>
          <w:szCs w:val="20"/>
        </w:rPr>
        <w:t>.</w:t>
      </w:r>
    </w:p>
    <w:p w:rsidR="00B42C51" w:rsidRPr="008D2996" w:rsidRDefault="00E74A46" w:rsidP="00B42C51">
      <w:r w:rsidRPr="00E74A46">
        <w:t>La hausse de (+4,4%) des dépenses d'assurances « hors acceptations internationales » parallèlement à une croissance plus importante du PIB a induit une décroissance du taux d</w:t>
      </w:r>
      <w:r w:rsidR="00042950">
        <w:t>e pénétration, qui passe de 0,77</w:t>
      </w:r>
      <w:r w:rsidRPr="00E74A46">
        <w:t xml:space="preserve">% en 2009 à 0,67% en 2010. </w:t>
      </w:r>
    </w:p>
    <w:p w:rsidR="00B42C51" w:rsidRDefault="00E74A46" w:rsidP="00B42C51">
      <w:r w:rsidRPr="00E74A46">
        <w:t xml:space="preserve">Comparé aux taux de pénétration de la Tunisie et du Maroc, le taux de pénétration de l’assurance en Algérie demeure faible </w:t>
      </w:r>
      <w:r w:rsidRPr="00E74A46">
        <w:rPr>
          <w:color w:val="0000FF"/>
          <w:sz w:val="20"/>
          <w:szCs w:val="20"/>
        </w:rPr>
        <w:t>(tableau n° 10.0</w:t>
      </w:r>
      <w:r w:rsidR="00E7064F">
        <w:rPr>
          <w:color w:val="0000FF"/>
          <w:sz w:val="20"/>
          <w:szCs w:val="20"/>
        </w:rPr>
        <w:t>7 bis</w:t>
      </w:r>
      <w:r w:rsidRPr="00E74A46">
        <w:rPr>
          <w:color w:val="0000FF"/>
          <w:sz w:val="20"/>
          <w:szCs w:val="20"/>
        </w:rPr>
        <w:t>)</w:t>
      </w:r>
      <w:r w:rsidRPr="00E74A46">
        <w:t xml:space="preserve">. </w:t>
      </w:r>
    </w:p>
    <w:p w:rsidR="00EE0E51" w:rsidRPr="00EE0E51" w:rsidRDefault="00EE0E51" w:rsidP="00B42C51"/>
    <w:p w:rsidR="00B42C51" w:rsidRPr="008D2996" w:rsidRDefault="00E74A46" w:rsidP="00B42C51">
      <w:pPr>
        <w:spacing w:after="0" w:line="240" w:lineRule="auto"/>
        <w:jc w:val="left"/>
      </w:pPr>
      <w:r w:rsidRPr="00E74A46">
        <w:t>Densité D’ASSURANCE</w:t>
      </w:r>
    </w:p>
    <w:p w:rsidR="00B42C51" w:rsidRPr="008D2996" w:rsidRDefault="00B42C51" w:rsidP="00B42C51">
      <w:pPr>
        <w:spacing w:after="0" w:line="240" w:lineRule="auto"/>
        <w:jc w:val="left"/>
      </w:pPr>
    </w:p>
    <w:p w:rsidR="00B42C51" w:rsidRPr="008D2996" w:rsidRDefault="00E74A46" w:rsidP="00B42C51">
      <w:r w:rsidRPr="00E74A46">
        <w:t>De façon similaire, la croissance de la production d’assurance (4,4%) étant plus élevée que celle de la population totale (2</w:t>
      </w:r>
      <w:r w:rsidR="00181984">
        <w:t>,0</w:t>
      </w:r>
      <w:r w:rsidRPr="00E74A46">
        <w:t>%), elle induit une progression de la densité d’assurance (production d’assurance rapportée à la population totale).</w:t>
      </w:r>
    </w:p>
    <w:p w:rsidR="00B42C51" w:rsidRPr="008D2996" w:rsidRDefault="00856D25" w:rsidP="00B42C51">
      <w:r>
        <w:t>Ainsi la densité passe</w:t>
      </w:r>
      <w:r w:rsidR="00E74A46" w:rsidRPr="00E74A46">
        <w:t xml:space="preserve"> de 2 203 dinars de prime par habitant en 2009 à 2 254 dinars en 2010, soit une augmentation de 2,3% </w:t>
      </w:r>
      <w:r w:rsidR="00E74A46" w:rsidRPr="00E74A46">
        <w:rPr>
          <w:color w:val="0000FF"/>
        </w:rPr>
        <w:t>(tableau n° 10.0</w:t>
      </w:r>
      <w:r w:rsidR="00E7064F">
        <w:rPr>
          <w:color w:val="0000FF"/>
        </w:rPr>
        <w:t>8</w:t>
      </w:r>
      <w:r w:rsidR="00E74A46" w:rsidRPr="00E74A46">
        <w:rPr>
          <w:color w:val="0000FF"/>
        </w:rPr>
        <w:t>).</w:t>
      </w:r>
      <w:r w:rsidR="00E74A46" w:rsidRPr="00E74A46">
        <w:t xml:space="preserve"> Exprimée en dollars, elle se maintient à 30,3 USD par habitant. </w:t>
      </w:r>
    </w:p>
    <w:p w:rsidR="00B42C51" w:rsidRPr="008D2996" w:rsidRDefault="00E74A46" w:rsidP="00B42C51">
      <w:r w:rsidRPr="00E74A46">
        <w:t xml:space="preserve">Malgré cette hausse, la densité reste faible relativement à la densité moyenne au niveau mondial (627 USD), et par rapport </w:t>
      </w:r>
      <w:r w:rsidRPr="00E74A46">
        <w:rPr>
          <w:rStyle w:val="Appelnotedebasdep"/>
        </w:rPr>
        <w:footnoteReference w:id="15"/>
      </w:r>
      <w:r w:rsidRPr="00E74A46">
        <w:t xml:space="preserve"> à la prime moyenne par habitant en Tunisie, au Maroc et sur le continent africain qui est respectivement de 73 USD, 65 USD et 64 USD. La densité en Afrique est surtout boostée par la production d’assurance en Afrique du sud qui représente 79</w:t>
      </w:r>
      <w:r w:rsidR="00181984">
        <w:t>,9</w:t>
      </w:r>
      <w:r w:rsidRPr="00E74A46">
        <w:t xml:space="preserve">% du continent africain. </w:t>
      </w:r>
    </w:p>
    <w:p w:rsidR="00B42C51" w:rsidRPr="008D2996" w:rsidRDefault="00B42C51" w:rsidP="00B42C51"/>
    <w:p w:rsidR="00B42C51" w:rsidRPr="008D2996" w:rsidRDefault="00042950" w:rsidP="00B42C51">
      <w:r w:rsidRPr="00042950">
        <w:rPr>
          <w:noProof/>
        </w:rPr>
        <w:lastRenderedPageBreak/>
        <w:drawing>
          <wp:inline distT="0" distB="0" distL="0" distR="0">
            <wp:extent cx="6120130" cy="3209999"/>
            <wp:effectExtent l="19050" t="0" r="0" b="0"/>
            <wp:docPr id="22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6120130" cy="3209999"/>
                    </a:xfrm>
                    <a:prstGeom prst="rect">
                      <a:avLst/>
                    </a:prstGeom>
                    <a:noFill/>
                    <a:ln w="9525">
                      <a:noFill/>
                      <a:miter lim="800000"/>
                      <a:headEnd/>
                      <a:tailEnd/>
                    </a:ln>
                  </pic:spPr>
                </pic:pic>
              </a:graphicData>
            </a:graphic>
          </wp:inline>
        </w:drawing>
      </w:r>
    </w:p>
    <w:p w:rsidR="00B42C51" w:rsidRPr="008D2996" w:rsidRDefault="007C0A30" w:rsidP="00B42C51">
      <w:pPr>
        <w:jc w:val="left"/>
      </w:pPr>
      <w:r w:rsidRPr="007C0A30">
        <w:rPr>
          <w:noProof/>
        </w:rPr>
        <w:drawing>
          <wp:inline distT="0" distB="0" distL="0" distR="0">
            <wp:extent cx="6123567" cy="4077148"/>
            <wp:effectExtent l="19050" t="0" r="0" b="0"/>
            <wp:docPr id="22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120130" cy="4074860"/>
                    </a:xfrm>
                    <a:prstGeom prst="rect">
                      <a:avLst/>
                    </a:prstGeom>
                    <a:noFill/>
                    <a:ln w="9525">
                      <a:noFill/>
                      <a:miter lim="800000"/>
                      <a:headEnd/>
                      <a:tailEnd/>
                    </a:ln>
                  </pic:spPr>
                </pic:pic>
              </a:graphicData>
            </a:graphic>
          </wp:inline>
        </w:drawing>
      </w:r>
    </w:p>
    <w:p w:rsidR="00B42C51" w:rsidRPr="008D2996" w:rsidRDefault="00B42C51" w:rsidP="00B42C51"/>
    <w:p w:rsidR="00B42C51" w:rsidRPr="008D2996" w:rsidRDefault="00B42C51" w:rsidP="00B42C51"/>
    <w:p w:rsidR="00B42C51" w:rsidRPr="008D2996" w:rsidRDefault="007C0A30" w:rsidP="00B42C51">
      <w:r w:rsidRPr="007C0A30">
        <w:rPr>
          <w:noProof/>
        </w:rPr>
        <w:lastRenderedPageBreak/>
        <w:drawing>
          <wp:inline distT="0" distB="0" distL="0" distR="0">
            <wp:extent cx="6120130" cy="191404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6120130" cy="1914044"/>
                    </a:xfrm>
                    <a:prstGeom prst="rect">
                      <a:avLst/>
                    </a:prstGeom>
                    <a:noFill/>
                    <a:ln w="9525">
                      <a:noFill/>
                      <a:miter lim="800000"/>
                      <a:headEnd/>
                      <a:tailEnd/>
                    </a:ln>
                  </pic:spPr>
                </pic:pic>
              </a:graphicData>
            </a:graphic>
          </wp:inline>
        </w:drawing>
      </w:r>
    </w:p>
    <w:p w:rsidR="00B42C51" w:rsidRPr="008D2996" w:rsidRDefault="00B42C51" w:rsidP="00B42C51"/>
    <w:p w:rsidR="00B42C51" w:rsidRPr="008D2996" w:rsidRDefault="00B42C51" w:rsidP="00B42C51"/>
    <w:p w:rsidR="00B42C51" w:rsidRPr="008D2996" w:rsidRDefault="007C0A30" w:rsidP="00B42C51">
      <w:r w:rsidRPr="007C0A30">
        <w:rPr>
          <w:noProof/>
        </w:rPr>
        <w:drawing>
          <wp:inline distT="0" distB="0" distL="0" distR="0">
            <wp:extent cx="6121203" cy="2829261"/>
            <wp:effectExtent l="19050" t="0" r="0" b="0"/>
            <wp:docPr id="23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6120130" cy="2828765"/>
                    </a:xfrm>
                    <a:prstGeom prst="rect">
                      <a:avLst/>
                    </a:prstGeom>
                    <a:noFill/>
                    <a:ln w="9525">
                      <a:noFill/>
                      <a:miter lim="800000"/>
                      <a:headEnd/>
                      <a:tailEnd/>
                    </a:ln>
                  </pic:spPr>
                </pic:pic>
              </a:graphicData>
            </a:graphic>
          </wp:inline>
        </w:drawing>
      </w:r>
    </w:p>
    <w:p w:rsidR="00B42C51" w:rsidRPr="008D2996" w:rsidRDefault="007C0A30" w:rsidP="00B42C51">
      <w:r w:rsidRPr="007C0A30">
        <w:rPr>
          <w:noProof/>
        </w:rPr>
        <w:drawing>
          <wp:inline distT="0" distB="0" distL="0" distR="0">
            <wp:extent cx="6122401" cy="3151990"/>
            <wp:effectExtent l="19050" t="0" r="0" b="0"/>
            <wp:docPr id="2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6120130" cy="3150821"/>
                    </a:xfrm>
                    <a:prstGeom prst="rect">
                      <a:avLst/>
                    </a:prstGeom>
                    <a:noFill/>
                    <a:ln w="9525">
                      <a:noFill/>
                      <a:miter lim="800000"/>
                      <a:headEnd/>
                      <a:tailEnd/>
                    </a:ln>
                  </pic:spPr>
                </pic:pic>
              </a:graphicData>
            </a:graphic>
          </wp:inline>
        </w:drawing>
      </w:r>
    </w:p>
    <w:p w:rsidR="00B42C51" w:rsidRPr="008D2996" w:rsidRDefault="00B42C51" w:rsidP="00E7064F">
      <w:pPr>
        <w:sectPr w:rsidR="00B42C51" w:rsidRPr="008D2996" w:rsidSect="00864BB5">
          <w:footnotePr>
            <w:numRestart w:val="eachPage"/>
          </w:footnotePr>
          <w:pgSz w:w="11906" w:h="16838" w:code="9"/>
          <w:pgMar w:top="1871" w:right="1134" w:bottom="1304" w:left="1134" w:header="709" w:footer="709" w:gutter="0"/>
          <w:cols w:space="708"/>
          <w:docGrid w:linePitch="360"/>
        </w:sectPr>
      </w:pPr>
    </w:p>
    <w:p w:rsidR="00B42C51" w:rsidRPr="008D2996" w:rsidRDefault="00B42C51" w:rsidP="00B42C51"/>
    <w:p w:rsidR="00E7064F" w:rsidRDefault="007C0A30" w:rsidP="00B42C51">
      <w:r w:rsidRPr="007C0A30">
        <w:rPr>
          <w:noProof/>
        </w:rPr>
        <w:drawing>
          <wp:inline distT="0" distB="0" distL="0" distR="0">
            <wp:extent cx="9422989" cy="2958353"/>
            <wp:effectExtent l="19050" t="0" r="6761" b="0"/>
            <wp:docPr id="2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9431655" cy="2961074"/>
                    </a:xfrm>
                    <a:prstGeom prst="rect">
                      <a:avLst/>
                    </a:prstGeom>
                    <a:noFill/>
                    <a:ln w="9525">
                      <a:noFill/>
                      <a:miter lim="800000"/>
                      <a:headEnd/>
                      <a:tailEnd/>
                    </a:ln>
                  </pic:spPr>
                </pic:pic>
              </a:graphicData>
            </a:graphic>
          </wp:inline>
        </w:drawing>
      </w:r>
    </w:p>
    <w:p w:rsidR="00B42C51" w:rsidRPr="00E7064F" w:rsidRDefault="00E7064F" w:rsidP="00E7064F">
      <w:pPr>
        <w:sectPr w:rsidR="00B42C51" w:rsidRPr="00E7064F" w:rsidSect="004F6626">
          <w:footnotePr>
            <w:numRestart w:val="eachPage"/>
          </w:footnotePr>
          <w:type w:val="nextColumn"/>
          <w:pgSz w:w="16838" w:h="11906" w:orient="landscape" w:code="9"/>
          <w:pgMar w:top="1871" w:right="1134" w:bottom="1304" w:left="851" w:header="709" w:footer="709" w:gutter="0"/>
          <w:cols w:space="708"/>
          <w:docGrid w:linePitch="360"/>
        </w:sectPr>
      </w:pPr>
      <w:r w:rsidRPr="00E7064F">
        <w:rPr>
          <w:noProof/>
        </w:rPr>
        <w:drawing>
          <wp:inline distT="0" distB="0" distL="0" distR="0">
            <wp:extent cx="9418269" cy="2226833"/>
            <wp:effectExtent l="1905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9431655" cy="2229998"/>
                    </a:xfrm>
                    <a:prstGeom prst="rect">
                      <a:avLst/>
                    </a:prstGeom>
                    <a:noFill/>
                    <a:ln w="9525">
                      <a:noFill/>
                      <a:miter lim="800000"/>
                      <a:headEnd/>
                      <a:tailEnd/>
                    </a:ln>
                  </pic:spPr>
                </pic:pic>
              </a:graphicData>
            </a:graphic>
          </wp:inline>
        </w:drawing>
      </w:r>
    </w:p>
    <w:p w:rsidR="00E77BD7" w:rsidRDefault="00E77BD7" w:rsidP="00E77BD7">
      <w:pPr>
        <w:pStyle w:val="Titre"/>
        <w:jc w:val="both"/>
        <w:outlineLvl w:val="0"/>
      </w:pPr>
      <w:bookmarkStart w:id="179" w:name="Lien1"/>
      <w:bookmarkStart w:id="180" w:name="_Toc326155988"/>
      <w:bookmarkStart w:id="181" w:name="_Toc71847710"/>
      <w:bookmarkStart w:id="182" w:name="_Toc71851560"/>
      <w:bookmarkStart w:id="183" w:name="_Toc71851677"/>
      <w:bookmarkStart w:id="184" w:name="_Toc74180099"/>
      <w:bookmarkStart w:id="185" w:name="_Toc74181197"/>
      <w:bookmarkStart w:id="186" w:name="_Toc74182152"/>
      <w:bookmarkStart w:id="187" w:name="_Toc74182593"/>
      <w:bookmarkStart w:id="188" w:name="_Toc74183302"/>
      <w:bookmarkStart w:id="189" w:name="_Toc74188798"/>
      <w:bookmarkStart w:id="190" w:name="_Toc74188902"/>
      <w:bookmarkStart w:id="191" w:name="_Toc74189006"/>
      <w:bookmarkStart w:id="192" w:name="_Toc74189186"/>
      <w:bookmarkStart w:id="193" w:name="_Toc74189305"/>
      <w:bookmarkStart w:id="194" w:name="_Toc74189502"/>
      <w:bookmarkStart w:id="195" w:name="_Toc177110644"/>
      <w:bookmarkStart w:id="196" w:name="_Toc25906389"/>
      <w:bookmarkStart w:id="197" w:name="_Toc496869974"/>
      <w:bookmarkEnd w:id="167"/>
      <w:bookmarkEnd w:id="179"/>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jc w:val="both"/>
        <w:outlineLvl w:val="0"/>
        <w:rPr>
          <w:b w:val="0"/>
          <w:bCs w:val="0"/>
          <w:caps w:val="0"/>
          <w:sz w:val="40"/>
        </w:rPr>
      </w:pPr>
    </w:p>
    <w:p w:rsidR="00E77BD7" w:rsidRDefault="00E77BD7" w:rsidP="00E77BD7">
      <w:pPr>
        <w:pStyle w:val="Titre"/>
        <w:outlineLvl w:val="0"/>
      </w:pPr>
      <w:bookmarkStart w:id="198" w:name="_Toc327916522"/>
      <w:r>
        <w:rPr>
          <w:b w:val="0"/>
          <w:bCs w:val="0"/>
          <w:caps w:val="0"/>
          <w:sz w:val="40"/>
        </w:rPr>
        <w:t>4</w:t>
      </w:r>
      <w:r>
        <w:rPr>
          <w:sz w:val="40"/>
        </w:rPr>
        <w:t>°</w:t>
      </w:r>
      <w:r w:rsidR="00E45768" w:rsidRPr="00E45768">
        <w:rPr>
          <w:noProof/>
          <w:sz w:val="40"/>
        </w:rPr>
        <w:t>Chapitre </w:t>
      </w:r>
      <w:r w:rsidR="00E45768" w:rsidRPr="00E45768">
        <w:rPr>
          <w:sz w:val="40"/>
        </w:rPr>
        <w:t>: Evaluation de la demande des agents EN 2010</w:t>
      </w:r>
      <w:bookmarkEnd w:id="198"/>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E77BD7" w:rsidRDefault="00E77BD7" w:rsidP="00E77BD7">
      <w:pPr>
        <w:pStyle w:val="Titre"/>
        <w:jc w:val="both"/>
        <w:outlineLvl w:val="0"/>
      </w:pPr>
    </w:p>
    <w:p w:rsidR="0086694F" w:rsidRPr="008D2996" w:rsidRDefault="00E74A46" w:rsidP="00E77BD7">
      <w:pPr>
        <w:pStyle w:val="Titre"/>
        <w:jc w:val="both"/>
        <w:outlineLvl w:val="0"/>
      </w:pPr>
      <w:bookmarkStart w:id="199" w:name="_Toc327916523"/>
      <w:r w:rsidRPr="00E74A46">
        <w:lastRenderedPageBreak/>
        <w:t>assurance des ménages et des entrepreneurs individuels</w:t>
      </w:r>
      <w:bookmarkEnd w:id="180"/>
      <w:bookmarkEnd w:id="199"/>
    </w:p>
    <w:p w:rsidR="0086694F" w:rsidRPr="008D2996" w:rsidRDefault="00E74A46" w:rsidP="0086694F">
      <w:pPr>
        <w:pStyle w:val="Corpsdetexte2"/>
        <w:rPr>
          <w:rFonts w:ascii="Trebuchet MS" w:hAnsi="Trebuchet MS"/>
          <w:sz w:val="22"/>
          <w:szCs w:val="22"/>
        </w:rPr>
      </w:pPr>
      <w:r w:rsidRPr="00E74A46">
        <w:rPr>
          <w:rFonts w:ascii="Trebuchet MS" w:hAnsi="Trebuchet MS"/>
          <w:sz w:val="22"/>
          <w:szCs w:val="22"/>
        </w:rPr>
        <w:t>Entendu au sens de la comptabilité nationale, l’agent ménage ou MEI</w:t>
      </w:r>
      <w:r w:rsidRPr="00E74A46">
        <w:rPr>
          <w:rStyle w:val="Appelnotedebasdep"/>
          <w:rFonts w:ascii="Trebuchet MS" w:hAnsi="Trebuchet MS"/>
          <w:sz w:val="22"/>
          <w:szCs w:val="22"/>
        </w:rPr>
        <w:footnoteReference w:id="16"/>
      </w:r>
      <w:r w:rsidRPr="00E74A46">
        <w:rPr>
          <w:rFonts w:ascii="Trebuchet MS" w:hAnsi="Trebuchet MS"/>
          <w:sz w:val="22"/>
          <w:szCs w:val="22"/>
        </w:rPr>
        <w:t xml:space="preserve"> est indissocié des petites entreprises individuelles.  Ainsi, dans les assurances destinées aux ménages, nous proposons de regrouper : </w:t>
      </w:r>
    </w:p>
    <w:p w:rsidR="0086694F" w:rsidRPr="008D2996" w:rsidRDefault="00E74A46" w:rsidP="0086694F">
      <w:pPr>
        <w:pStyle w:val="puce-1"/>
        <w:spacing w:before="0" w:after="0"/>
        <w:rPr>
          <w:sz w:val="22"/>
          <w:szCs w:val="22"/>
        </w:rPr>
      </w:pPr>
      <w:r w:rsidRPr="00E74A46">
        <w:rPr>
          <w:sz w:val="22"/>
          <w:szCs w:val="22"/>
        </w:rPr>
        <w:t xml:space="preserve">La totalité de l’assurance automobile des particuliers estimée par appréciation auprès des </w:t>
      </w:r>
      <w:r w:rsidR="00856D25">
        <w:rPr>
          <w:sz w:val="22"/>
          <w:szCs w:val="22"/>
        </w:rPr>
        <w:t>sociétés</w:t>
      </w:r>
      <w:r w:rsidR="00181984">
        <w:rPr>
          <w:sz w:val="22"/>
          <w:szCs w:val="22"/>
        </w:rPr>
        <w:t> ;</w:t>
      </w:r>
      <w:r w:rsidRPr="00E74A46">
        <w:rPr>
          <w:sz w:val="22"/>
          <w:szCs w:val="22"/>
        </w:rPr>
        <w:t xml:space="preserve"> </w:t>
      </w:r>
    </w:p>
    <w:p w:rsidR="0086694F" w:rsidRPr="008D2996" w:rsidRDefault="00E74A46" w:rsidP="0086694F">
      <w:pPr>
        <w:pStyle w:val="puce-1"/>
        <w:spacing w:before="0" w:after="0"/>
        <w:rPr>
          <w:sz w:val="22"/>
          <w:szCs w:val="22"/>
        </w:rPr>
      </w:pPr>
      <w:r w:rsidRPr="00E74A46">
        <w:rPr>
          <w:sz w:val="22"/>
          <w:szCs w:val="22"/>
        </w:rPr>
        <w:t>la totalité des assurances de personnes en contrats individuels</w:t>
      </w:r>
      <w:r w:rsidR="00181984">
        <w:rPr>
          <w:sz w:val="22"/>
          <w:szCs w:val="22"/>
        </w:rPr>
        <w:t> ;</w:t>
      </w:r>
    </w:p>
    <w:p w:rsidR="0086694F" w:rsidRPr="008D2996" w:rsidRDefault="00E74A46" w:rsidP="0086694F">
      <w:pPr>
        <w:pStyle w:val="puce-1"/>
        <w:spacing w:before="0" w:after="0"/>
        <w:rPr>
          <w:sz w:val="22"/>
          <w:szCs w:val="22"/>
        </w:rPr>
      </w:pPr>
      <w:r w:rsidRPr="00E74A46">
        <w:rPr>
          <w:sz w:val="22"/>
          <w:szCs w:val="22"/>
        </w:rPr>
        <w:t>la totalité des assurances de crédit à la consommation</w:t>
      </w:r>
      <w:r w:rsidR="00181984">
        <w:rPr>
          <w:sz w:val="22"/>
          <w:szCs w:val="22"/>
        </w:rPr>
        <w:t> ;</w:t>
      </w:r>
    </w:p>
    <w:p w:rsidR="0086694F" w:rsidRPr="008D2996" w:rsidRDefault="00E74A46" w:rsidP="0086694F">
      <w:pPr>
        <w:pStyle w:val="puce-1"/>
        <w:spacing w:before="0" w:after="0"/>
        <w:rPr>
          <w:sz w:val="22"/>
          <w:szCs w:val="22"/>
        </w:rPr>
      </w:pPr>
      <w:r w:rsidRPr="00E74A46">
        <w:rPr>
          <w:sz w:val="22"/>
          <w:szCs w:val="22"/>
        </w:rPr>
        <w:t>Une partie (estimée à 40%) des productions réalisées en « risques simples », relative aux contrats des particuliers et des petits commerçants et artisans</w:t>
      </w:r>
      <w:r w:rsidR="00181984">
        <w:rPr>
          <w:sz w:val="22"/>
          <w:szCs w:val="22"/>
        </w:rPr>
        <w:t> ;</w:t>
      </w:r>
      <w:r w:rsidRPr="00E74A46">
        <w:rPr>
          <w:sz w:val="22"/>
          <w:szCs w:val="22"/>
        </w:rPr>
        <w:t> </w:t>
      </w:r>
    </w:p>
    <w:p w:rsidR="0086694F" w:rsidRPr="008D2996" w:rsidRDefault="00E74A46" w:rsidP="0086694F">
      <w:pPr>
        <w:pStyle w:val="puce-1"/>
        <w:spacing w:before="0" w:after="0"/>
        <w:rPr>
          <w:sz w:val="22"/>
          <w:szCs w:val="22"/>
        </w:rPr>
      </w:pPr>
      <w:r w:rsidRPr="00E74A46">
        <w:rPr>
          <w:sz w:val="22"/>
          <w:szCs w:val="22"/>
        </w:rPr>
        <w:t>Une partie (estimée à 50%) des assurances de personnes en contrat groupe hors contrat capital-retraite totalement souscrit par des employeurs</w:t>
      </w:r>
      <w:r w:rsidR="00181984">
        <w:rPr>
          <w:sz w:val="22"/>
          <w:szCs w:val="22"/>
        </w:rPr>
        <w:t> ;</w:t>
      </w:r>
      <w:r w:rsidRPr="00E74A46">
        <w:rPr>
          <w:sz w:val="22"/>
          <w:szCs w:val="22"/>
        </w:rPr>
        <w:t> </w:t>
      </w:r>
    </w:p>
    <w:p w:rsidR="0086694F" w:rsidRPr="008D2996" w:rsidRDefault="00E74A46" w:rsidP="0086694F">
      <w:pPr>
        <w:pStyle w:val="Corpsdetexte2"/>
        <w:spacing w:after="0"/>
        <w:rPr>
          <w:rFonts w:ascii="Trebuchet MS" w:hAnsi="Trebuchet MS"/>
          <w:sz w:val="22"/>
          <w:szCs w:val="22"/>
        </w:rPr>
      </w:pPr>
      <w:r w:rsidRPr="00E74A46">
        <w:rPr>
          <w:rFonts w:ascii="Trebuchet MS" w:hAnsi="Trebuchet MS"/>
          <w:sz w:val="22"/>
          <w:szCs w:val="22"/>
        </w:rPr>
        <w:t xml:space="preserve">Elles ne comprennent pas la production réalisée en </w:t>
      </w:r>
      <w:r w:rsidR="00E7064F">
        <w:rPr>
          <w:rFonts w:ascii="Trebuchet MS" w:hAnsi="Trebuchet MS"/>
          <w:sz w:val="22"/>
          <w:szCs w:val="22"/>
        </w:rPr>
        <w:t xml:space="preserve">« assurance </w:t>
      </w:r>
      <w:r w:rsidRPr="00E74A46">
        <w:rPr>
          <w:rFonts w:ascii="Trebuchet MS" w:hAnsi="Trebuchet MS"/>
          <w:sz w:val="22"/>
          <w:szCs w:val="22"/>
        </w:rPr>
        <w:t>agricole</w:t>
      </w:r>
      <w:r w:rsidR="00856D25">
        <w:rPr>
          <w:rFonts w:ascii="Trebuchet MS" w:hAnsi="Trebuchet MS"/>
          <w:sz w:val="22"/>
          <w:szCs w:val="22"/>
        </w:rPr>
        <w:t> »</w:t>
      </w:r>
      <w:r w:rsidRPr="00E74A46">
        <w:rPr>
          <w:rFonts w:ascii="Trebuchet MS" w:hAnsi="Trebuchet MS"/>
          <w:sz w:val="22"/>
          <w:szCs w:val="22"/>
        </w:rPr>
        <w:t xml:space="preserve"> destinée à couvrir les récoltes et le bétail, même si elle affecte dans une certaine mesure les ménages, notamment en milieu rural. </w:t>
      </w:r>
    </w:p>
    <w:p w:rsidR="0086694F" w:rsidRPr="008D2996" w:rsidRDefault="00E74A46" w:rsidP="0086694F">
      <w:pPr>
        <w:pStyle w:val="Corpsdetexte2"/>
        <w:spacing w:before="0"/>
        <w:rPr>
          <w:rFonts w:ascii="Trebuchet MS" w:hAnsi="Trebuchet MS"/>
          <w:sz w:val="22"/>
          <w:szCs w:val="22"/>
        </w:rPr>
      </w:pPr>
      <w:r w:rsidRPr="00E74A46">
        <w:rPr>
          <w:rFonts w:ascii="Trebuchet MS" w:hAnsi="Trebuchet MS"/>
          <w:sz w:val="22"/>
          <w:szCs w:val="22"/>
        </w:rPr>
        <w:t>Du fait que cette branche d’assurance est liée au rendement de l’agriculture, nous avons jugé utile de la comparer aux indicateurs du secteur agricole. Hormis les assurances du matériel agricole et les couvertures prises contres le risque incendie pour les installations agricoles (étables, poulaillers, silos à blé …), les assurances des biens des agriculteurs eux-mêmes ont été affectées aux ménages.</w:t>
      </w:r>
    </w:p>
    <w:p w:rsidR="0086694F" w:rsidRPr="008D2996" w:rsidRDefault="00E74A46" w:rsidP="0086694F">
      <w:pPr>
        <w:pStyle w:val="Titre2"/>
      </w:pPr>
      <w:bookmarkStart w:id="200" w:name="_Toc326155989"/>
      <w:bookmarkStart w:id="201" w:name="_Toc327883426"/>
      <w:bookmarkStart w:id="202" w:name="_Toc327883606"/>
      <w:bookmarkStart w:id="203" w:name="_Toc327883950"/>
      <w:bookmarkStart w:id="204" w:name="_Toc327884460"/>
      <w:bookmarkStart w:id="205" w:name="_Toc327885012"/>
      <w:bookmarkStart w:id="206" w:name="_Toc327885597"/>
      <w:bookmarkStart w:id="207" w:name="_Toc327916524"/>
      <w:r w:rsidRPr="00E74A46">
        <w:t>Structure et évolution des assurances des MEI</w:t>
      </w:r>
      <w:bookmarkEnd w:id="200"/>
      <w:bookmarkEnd w:id="201"/>
      <w:bookmarkEnd w:id="202"/>
      <w:bookmarkEnd w:id="203"/>
      <w:bookmarkEnd w:id="204"/>
      <w:bookmarkEnd w:id="205"/>
      <w:bookmarkEnd w:id="206"/>
      <w:bookmarkEnd w:id="207"/>
    </w:p>
    <w:p w:rsidR="0086694F" w:rsidRPr="008D2996" w:rsidRDefault="00E74A46" w:rsidP="0086694F">
      <w:pPr>
        <w:rPr>
          <w:color w:val="0000FF"/>
        </w:rPr>
      </w:pPr>
      <w:r w:rsidRPr="00E74A46">
        <w:t>Durant l'année 2010, les assurances des MEI représent</w:t>
      </w:r>
      <w:r w:rsidR="008B48B6">
        <w:t>ent</w:t>
      </w:r>
      <w:r w:rsidRPr="00E74A46">
        <w:t xml:space="preserve"> un marché de 39,4 </w:t>
      </w:r>
      <w:r w:rsidR="009135A6">
        <w:t>milliard</w:t>
      </w:r>
      <w:r w:rsidRPr="00E74A46">
        <w:t xml:space="preserve"> de dinars contre 35,</w:t>
      </w:r>
      <w:r w:rsidR="00B67EB5">
        <w:t>4</w:t>
      </w:r>
      <w:r w:rsidRPr="00E74A46">
        <w:t xml:space="preserve"> </w:t>
      </w:r>
      <w:r w:rsidR="009135A6">
        <w:t>milliard</w:t>
      </w:r>
      <w:r w:rsidRPr="00E74A46">
        <w:t xml:space="preserve"> de dinars en 2009, correspondant à un poids de 48,</w:t>
      </w:r>
      <w:r w:rsidR="00B67EB5">
        <w:t>5</w:t>
      </w:r>
      <w:r w:rsidRPr="00E74A46">
        <w:t xml:space="preserve">% du marché global (hors acceptations internationales). </w:t>
      </w:r>
      <w:r w:rsidR="0070209A">
        <w:rPr>
          <w:color w:val="0000FF"/>
          <w:sz w:val="20"/>
        </w:rPr>
        <w:t>(</w:t>
      </w:r>
      <w:r w:rsidR="0083499A">
        <w:rPr>
          <w:color w:val="0000FF"/>
          <w:sz w:val="20"/>
        </w:rPr>
        <w:t>Tableau</w:t>
      </w:r>
      <w:r w:rsidR="00E343EB">
        <w:rPr>
          <w:color w:val="0000FF"/>
          <w:sz w:val="20"/>
        </w:rPr>
        <w:t>x</w:t>
      </w:r>
      <w:r w:rsidR="0070209A">
        <w:rPr>
          <w:color w:val="0000FF"/>
          <w:sz w:val="20"/>
        </w:rPr>
        <w:t xml:space="preserve"> n°10.</w:t>
      </w:r>
      <w:r w:rsidR="00E343EB">
        <w:rPr>
          <w:color w:val="0000FF"/>
          <w:sz w:val="20"/>
        </w:rPr>
        <w:t>09, 10.10</w:t>
      </w:r>
      <w:r w:rsidR="00C86766">
        <w:rPr>
          <w:color w:val="0000FF"/>
          <w:sz w:val="20"/>
        </w:rPr>
        <w:t>).</w:t>
      </w:r>
    </w:p>
    <w:p w:rsidR="0086694F" w:rsidRPr="008D2996" w:rsidRDefault="00E74A46" w:rsidP="0086694F">
      <w:r w:rsidRPr="00E74A46">
        <w:t>Ce segment a connu une croissance de 11,</w:t>
      </w:r>
      <w:r w:rsidR="00B67EB5">
        <w:t>3</w:t>
      </w:r>
      <w:r w:rsidRPr="00E74A46">
        <w:t>% par rapport à l’année précédente.</w:t>
      </w:r>
    </w:p>
    <w:p w:rsidR="0086694F" w:rsidRPr="008D2996" w:rsidRDefault="00E74A46" w:rsidP="0086694F">
      <w:r w:rsidRPr="00E74A46">
        <w:t xml:space="preserve">En terme de structure et d'évolution par branche, on note que : </w:t>
      </w:r>
    </w:p>
    <w:p w:rsidR="0086694F" w:rsidRPr="008D2996" w:rsidRDefault="00E74A46" w:rsidP="0086694F">
      <w:pPr>
        <w:numPr>
          <w:ilvl w:val="0"/>
          <w:numId w:val="4"/>
        </w:numPr>
      </w:pPr>
      <w:r w:rsidRPr="00E74A46">
        <w:t xml:space="preserve">Les dépenses des MEI en assurance </w:t>
      </w:r>
      <w:r w:rsidR="001A27FE">
        <w:t>sont</w:t>
      </w:r>
      <w:r w:rsidRPr="00E74A46">
        <w:t xml:space="preserve"> consacrées dans une large majorité (80,</w:t>
      </w:r>
      <w:r w:rsidR="00B67EB5">
        <w:t>5</w:t>
      </w:r>
      <w:r w:rsidRPr="00E74A46">
        <w:t>%) à l'assurance automobile qui, avec une croissance de 9,</w:t>
      </w:r>
      <w:r w:rsidR="0083499A">
        <w:t>0</w:t>
      </w:r>
      <w:r w:rsidRPr="00E74A46">
        <w:t>%  </w:t>
      </w:r>
      <w:r w:rsidR="001A27FE">
        <w:t>réalis</w:t>
      </w:r>
      <w:r w:rsidR="0083499A">
        <w:t>e</w:t>
      </w:r>
      <w:r w:rsidRPr="00E74A46">
        <w:t xml:space="preserve"> </w:t>
      </w:r>
      <w:r w:rsidR="00C323B6">
        <w:t>131,9</w:t>
      </w:r>
      <w:r w:rsidRPr="00E74A46">
        <w:t>% de la production additionnelle de ce segment ;</w:t>
      </w:r>
    </w:p>
    <w:p w:rsidR="0086694F" w:rsidRPr="008D2996" w:rsidRDefault="00E74A46" w:rsidP="0086694F">
      <w:pPr>
        <w:numPr>
          <w:ilvl w:val="0"/>
          <w:numId w:val="4"/>
        </w:numPr>
      </w:pPr>
      <w:r w:rsidRPr="00E74A46">
        <w:t xml:space="preserve">Les dépenses en assurances de personnes qui </w:t>
      </w:r>
      <w:r w:rsidR="001A27FE">
        <w:t>connaissent</w:t>
      </w:r>
      <w:r w:rsidRPr="00E74A46">
        <w:t xml:space="preserve"> une baisse de 10,5% en 2009, </w:t>
      </w:r>
      <w:r w:rsidR="001A27FE">
        <w:t>marquent</w:t>
      </w:r>
      <w:r w:rsidRPr="00E74A46">
        <w:t xml:space="preserve"> une évolution importante de 47,</w:t>
      </w:r>
      <w:r w:rsidR="00B67EB5">
        <w:t>3</w:t>
      </w:r>
      <w:r w:rsidRPr="00E74A46">
        <w:t>%, en 2010, et se maintiennent toujours à la deuxième position avec un poids de 13</w:t>
      </w:r>
      <w:r w:rsidR="00BB3265">
        <w:t>,1</w:t>
      </w:r>
      <w:r w:rsidRPr="00E74A46">
        <w:t xml:space="preserve">% contre </w:t>
      </w:r>
      <w:r w:rsidR="005426A2">
        <w:t>9</w:t>
      </w:r>
      <w:r w:rsidRPr="00E74A46">
        <w:t>,</w:t>
      </w:r>
      <w:r w:rsidR="005426A2">
        <w:t>9</w:t>
      </w:r>
      <w:r w:rsidRPr="00E74A46">
        <w:t>% en 2009 ;</w:t>
      </w:r>
    </w:p>
    <w:p w:rsidR="0086694F" w:rsidRPr="008D2996" w:rsidRDefault="00E74A46" w:rsidP="0086694F">
      <w:pPr>
        <w:numPr>
          <w:ilvl w:val="0"/>
          <w:numId w:val="4"/>
        </w:numPr>
      </w:pPr>
      <w:r w:rsidRPr="00E74A46">
        <w:t>Les risques simples occupent la troisième position avec 6,</w:t>
      </w:r>
      <w:r w:rsidR="005426A2">
        <w:t>1</w:t>
      </w:r>
      <w:r w:rsidRPr="00E74A46">
        <w:t xml:space="preserve">% des dépenses d’assurance et un taux de croissance de </w:t>
      </w:r>
      <w:r w:rsidR="005426A2">
        <w:t>10</w:t>
      </w:r>
      <w:r w:rsidR="00BB3265">
        <w:t>,0</w:t>
      </w:r>
      <w:r w:rsidRPr="00E74A46">
        <w:t>% ;</w:t>
      </w:r>
    </w:p>
    <w:p w:rsidR="0086694F" w:rsidRPr="008D2996" w:rsidRDefault="00E74A46" w:rsidP="0086694F">
      <w:pPr>
        <w:numPr>
          <w:ilvl w:val="0"/>
          <w:numId w:val="4"/>
        </w:numPr>
      </w:pPr>
      <w:r w:rsidRPr="00E74A46">
        <w:t xml:space="preserve">Les dépenses en assurance crédit </w:t>
      </w:r>
      <w:r w:rsidR="001A27FE">
        <w:t xml:space="preserve">enregistrent </w:t>
      </w:r>
      <w:r w:rsidRPr="00E74A46">
        <w:t>une baisse de 78,2% et représentent 0,4% des dépenses globales en 2010. Cette régression  est due essentiellement à la suppression du crédit à la consommation intervenue en 2009</w:t>
      </w:r>
      <w:r w:rsidR="001A27FE">
        <w:t>.</w:t>
      </w:r>
    </w:p>
    <w:p w:rsidR="0086694F" w:rsidRPr="008D2996" w:rsidRDefault="0086694F" w:rsidP="0086694F">
      <w:pPr>
        <w:pStyle w:val="Titre2"/>
        <w:rPr>
          <w:highlight w:val="yellow"/>
        </w:rPr>
      </w:pPr>
    </w:p>
    <w:p w:rsidR="0086694F" w:rsidRPr="008D2996" w:rsidRDefault="00E45768" w:rsidP="0086694F">
      <w:pPr>
        <w:pStyle w:val="Titre2"/>
        <w:spacing w:after="240"/>
      </w:pPr>
      <w:bookmarkStart w:id="208" w:name="_Toc326155990"/>
      <w:bookmarkStart w:id="209" w:name="_Toc327883427"/>
      <w:bookmarkStart w:id="210" w:name="_Toc327883607"/>
      <w:bookmarkStart w:id="211" w:name="_Toc327883951"/>
      <w:bookmarkStart w:id="212" w:name="_Toc327884461"/>
      <w:bookmarkStart w:id="213" w:name="_Toc327885013"/>
      <w:bookmarkStart w:id="214" w:name="_Toc327885598"/>
      <w:bookmarkStart w:id="215" w:name="_Toc327916525"/>
      <w:r w:rsidRPr="00E45768">
        <w:t>Dépense d’Assurance et consommation finale des ménages</w:t>
      </w:r>
      <w:bookmarkEnd w:id="208"/>
      <w:bookmarkEnd w:id="209"/>
      <w:bookmarkEnd w:id="210"/>
      <w:bookmarkEnd w:id="211"/>
      <w:bookmarkEnd w:id="212"/>
      <w:bookmarkEnd w:id="213"/>
      <w:bookmarkEnd w:id="214"/>
      <w:bookmarkEnd w:id="215"/>
    </w:p>
    <w:p w:rsidR="0086694F" w:rsidRPr="008D2996" w:rsidRDefault="00E74A46" w:rsidP="0086694F">
      <w:pPr>
        <w:spacing w:after="240"/>
      </w:pPr>
      <w:r w:rsidRPr="00E74A46">
        <w:t>Selon les données définitives de l’</w:t>
      </w:r>
      <w:r w:rsidR="00ED2E71">
        <w:t>O.</w:t>
      </w:r>
      <w:r w:rsidRPr="00E74A46">
        <w:t>N</w:t>
      </w:r>
      <w:r w:rsidR="00ED2E71">
        <w:t>.</w:t>
      </w:r>
      <w:r w:rsidRPr="00E74A46">
        <w:t>S</w:t>
      </w:r>
      <w:r w:rsidR="00CD4927">
        <w:t>.</w:t>
      </w:r>
      <w:r w:rsidRPr="00E74A46">
        <w:t xml:space="preserve">, l’agrégat consommation finale des ménages aurait atteint en 2010 un montant de 4 155 </w:t>
      </w:r>
      <w:r w:rsidR="009135A6">
        <w:t>milliard</w:t>
      </w:r>
      <w:r w:rsidRPr="00E74A46">
        <w:t xml:space="preserve"> de dinars contre 3 678 </w:t>
      </w:r>
      <w:r w:rsidR="009135A6">
        <w:t>milliard</w:t>
      </w:r>
      <w:r w:rsidRPr="00E74A46">
        <w:t xml:space="preserve"> en 2009, soit une évolution de </w:t>
      </w:r>
      <w:r w:rsidR="00F42AF6">
        <w:t>12,9</w:t>
      </w:r>
      <w:r w:rsidRPr="00E74A46">
        <w:t xml:space="preserve">%. </w:t>
      </w:r>
    </w:p>
    <w:p w:rsidR="0086694F" w:rsidRPr="008D2996" w:rsidRDefault="00E74A46" w:rsidP="0086694F">
      <w:r w:rsidRPr="00E74A46">
        <w:t xml:space="preserve">L’année 2010 </w:t>
      </w:r>
      <w:r w:rsidR="009E50B5">
        <w:t>est</w:t>
      </w:r>
      <w:r w:rsidRPr="00E74A46">
        <w:t xml:space="preserve"> marquée par une croissance de la consommation finale des ménages moins rapide que celle du PIB (20</w:t>
      </w:r>
      <w:r w:rsidR="00BB3265">
        <w:t>,1</w:t>
      </w:r>
      <w:r w:rsidRPr="00E74A46">
        <w:t xml:space="preserve">% à prix courants). En tenant compte de l’IPC national, l’agrégat en termes réels </w:t>
      </w:r>
      <w:r w:rsidR="009E50B5" w:rsidRPr="00E74A46">
        <w:t>aura</w:t>
      </w:r>
      <w:r w:rsidRPr="00E74A46">
        <w:t xml:space="preserve"> augmenté de 3,3%. </w:t>
      </w:r>
    </w:p>
    <w:p w:rsidR="0086694F" w:rsidRPr="008D2996" w:rsidRDefault="00E74A46" w:rsidP="0086694F">
      <w:r w:rsidRPr="00E74A46">
        <w:t>Le taux de croissance des dépenses</w:t>
      </w:r>
      <w:r w:rsidR="00F03285">
        <w:t xml:space="preserve"> des ménages en assurance (+11,3</w:t>
      </w:r>
      <w:r w:rsidR="00BB3265">
        <w:t>%</w:t>
      </w:r>
      <w:r w:rsidRPr="00E74A46">
        <w:t xml:space="preserve">) étant inférieur à celui de la consommation finale, le coefficient de dépense en assurance qui mesure la part des dépenses d’assurance dans les dépenses globales des ménages </w:t>
      </w:r>
      <w:r w:rsidRPr="00E74A46">
        <w:rPr>
          <w:color w:val="0000FF"/>
          <w:sz w:val="20"/>
        </w:rPr>
        <w:t>(tableau n° 10.11)</w:t>
      </w:r>
      <w:r w:rsidRPr="00E74A46">
        <w:t xml:space="preserve"> s’en trouve </w:t>
      </w:r>
      <w:r w:rsidR="009E5B5F">
        <w:t xml:space="preserve">légèrement </w:t>
      </w:r>
      <w:r w:rsidRPr="00E74A46">
        <w:t>diminué, passant, de 0,96% en 2009 ,à 0,95% en 2010.</w:t>
      </w:r>
    </w:p>
    <w:p w:rsidR="0086694F" w:rsidRPr="008D2996" w:rsidRDefault="00E74A46" w:rsidP="0086694F">
      <w:r w:rsidRPr="00E74A46">
        <w:t>Rapporté au Revenu Brut des ménages, en augmentation moyenne</w:t>
      </w:r>
      <w:r w:rsidR="004017AC">
        <w:t xml:space="preserve"> </w:t>
      </w:r>
      <w:r w:rsidRPr="00E74A46">
        <w:t xml:space="preserve">selon l’ONS, de </w:t>
      </w:r>
      <w:r w:rsidR="00E45768" w:rsidRPr="00E45768">
        <w:t>0,6%</w:t>
      </w:r>
      <w:r w:rsidRPr="004017AC">
        <w:t xml:space="preserve"> </w:t>
      </w:r>
      <w:r w:rsidRPr="00E74A46">
        <w:t xml:space="preserve">le taux de pénétration se situe à </w:t>
      </w:r>
      <w:r w:rsidR="00E45768" w:rsidRPr="00E45768">
        <w:t>0,80%</w:t>
      </w:r>
      <w:r w:rsidRPr="004017AC">
        <w:t xml:space="preserve">, </w:t>
      </w:r>
      <w:r w:rsidRPr="00E74A46">
        <w:t xml:space="preserve">soit une </w:t>
      </w:r>
      <w:r w:rsidR="00BB3265">
        <w:t>hausse</w:t>
      </w:r>
      <w:r w:rsidR="00BB3265" w:rsidRPr="00E74A46">
        <w:t xml:space="preserve"> </w:t>
      </w:r>
      <w:r w:rsidRPr="00E74A46">
        <w:t xml:space="preserve">par rapport à l’année précédente. La croissance des dépenses en assurance a été moins importante que celle des revenus. </w:t>
      </w:r>
    </w:p>
    <w:p w:rsidR="00BF5C21" w:rsidRDefault="00E74A46" w:rsidP="0086694F">
      <w:pPr>
        <w:rPr>
          <w:color w:val="FF0000"/>
          <w:highlight w:val="yellow"/>
        </w:rPr>
      </w:pPr>
      <w:r w:rsidRPr="00E74A46">
        <w:t xml:space="preserve">Selon nos estimations, la dépense d’assurance par ménage </w:t>
      </w:r>
      <w:r w:rsidRPr="00E74A46">
        <w:rPr>
          <w:color w:val="0000FF"/>
          <w:sz w:val="20"/>
        </w:rPr>
        <w:t>(tableau n° 10.12)</w:t>
      </w:r>
      <w:r w:rsidRPr="00E74A46">
        <w:t xml:space="preserve"> connaît, à l’instar de l’année précédente, une augmentation moins importante de 5,</w:t>
      </w:r>
      <w:r w:rsidR="00A10989">
        <w:t>4</w:t>
      </w:r>
      <w:r w:rsidRPr="00E74A46">
        <w:t>%</w:t>
      </w:r>
      <w:r w:rsidR="00A10989">
        <w:t xml:space="preserve"> </w:t>
      </w:r>
      <w:r w:rsidRPr="00E74A46">
        <w:t>(18</w:t>
      </w:r>
      <w:r w:rsidR="00A10989">
        <w:t>,2</w:t>
      </w:r>
      <w:r w:rsidRPr="00E74A46">
        <w:t>% en 2009), passant de 5 74</w:t>
      </w:r>
      <w:r w:rsidR="00C86766">
        <w:t>6</w:t>
      </w:r>
      <w:r w:rsidRPr="00E74A46">
        <w:t xml:space="preserve"> dinars en 2009 à </w:t>
      </w:r>
      <w:r w:rsidR="00C86766">
        <w:rPr>
          <w:rFonts w:cs="Arial"/>
        </w:rPr>
        <w:t>6 054</w:t>
      </w:r>
      <w:r w:rsidRPr="00E74A46">
        <w:rPr>
          <w:rFonts w:cs="Arial"/>
        </w:rPr>
        <w:t xml:space="preserve"> </w:t>
      </w:r>
      <w:r w:rsidRPr="00E74A46">
        <w:t>dinars en 2010. Par personne active,</w:t>
      </w:r>
      <w:r w:rsidR="00C86766">
        <w:t xml:space="preserve"> cette dépense a augmenté de 8,5%, passant, de 3 35</w:t>
      </w:r>
      <w:r w:rsidRPr="00E74A46">
        <w:t>5 dinars en 2009, à 3 64</w:t>
      </w:r>
      <w:r w:rsidR="00C86766">
        <w:t>0 dinars en 2010</w:t>
      </w:r>
      <w:r w:rsidRPr="00E74A46">
        <w:t>.</w:t>
      </w:r>
    </w:p>
    <w:p w:rsidR="00BF5C21" w:rsidRDefault="003A6049" w:rsidP="00BF5C21">
      <w:pPr>
        <w:rPr>
          <w:highlight w:val="yellow"/>
        </w:rPr>
      </w:pPr>
      <w:r>
        <w:rPr>
          <w:noProof/>
        </w:rPr>
        <w:drawing>
          <wp:inline distT="0" distB="0" distL="0" distR="0">
            <wp:extent cx="6115048" cy="1993900"/>
            <wp:effectExtent l="19050" t="0" r="2" b="0"/>
            <wp:docPr id="24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6120130" cy="1995557"/>
                    </a:xfrm>
                    <a:prstGeom prst="rect">
                      <a:avLst/>
                    </a:prstGeom>
                    <a:noFill/>
                    <a:ln w="9525">
                      <a:noFill/>
                      <a:miter lim="800000"/>
                      <a:headEnd/>
                      <a:tailEnd/>
                    </a:ln>
                  </pic:spPr>
                </pic:pic>
              </a:graphicData>
            </a:graphic>
          </wp:inline>
        </w:drawing>
      </w:r>
    </w:p>
    <w:p w:rsidR="00BF5C21" w:rsidRDefault="00BF5C21" w:rsidP="00BF5C21">
      <w:pPr>
        <w:rPr>
          <w:highlight w:val="yellow"/>
        </w:rPr>
      </w:pPr>
      <w:r w:rsidRPr="00BF5C21">
        <w:rPr>
          <w:noProof/>
        </w:rPr>
        <w:drawing>
          <wp:inline distT="0" distB="0" distL="0" distR="0">
            <wp:extent cx="6197600" cy="1898650"/>
            <wp:effectExtent l="0" t="0" r="0" b="0"/>
            <wp:docPr id="255"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cstate="print"/>
                    <a:srcRect/>
                    <a:stretch>
                      <a:fillRect/>
                    </a:stretch>
                  </pic:blipFill>
                  <pic:spPr bwMode="auto">
                    <a:xfrm>
                      <a:off x="0" y="0"/>
                      <a:ext cx="6197600" cy="1898650"/>
                    </a:xfrm>
                    <a:prstGeom prst="rect">
                      <a:avLst/>
                    </a:prstGeom>
                    <a:noFill/>
                    <a:ln w="9525">
                      <a:noFill/>
                      <a:miter lim="800000"/>
                      <a:headEnd/>
                      <a:tailEnd/>
                    </a:ln>
                  </pic:spPr>
                </pic:pic>
              </a:graphicData>
            </a:graphic>
          </wp:inline>
        </w:drawing>
      </w:r>
    </w:p>
    <w:p w:rsidR="0086694F" w:rsidRPr="00BF5C21" w:rsidRDefault="003C7694" w:rsidP="00BF5C21">
      <w:pPr>
        <w:sectPr w:rsidR="0086694F" w:rsidRPr="00BF5C21" w:rsidSect="0086694F">
          <w:footnotePr>
            <w:numRestart w:val="eachPage"/>
          </w:footnotePr>
          <w:type w:val="nextColumn"/>
          <w:pgSz w:w="11906" w:h="16838" w:code="9"/>
          <w:pgMar w:top="1134" w:right="1134" w:bottom="1134" w:left="1134" w:header="709" w:footer="709" w:gutter="0"/>
          <w:cols w:space="708"/>
          <w:docGrid w:linePitch="360"/>
        </w:sectPr>
      </w:pPr>
      <w:r w:rsidRPr="003C7694">
        <w:rPr>
          <w:noProof/>
        </w:rPr>
        <w:lastRenderedPageBreak/>
        <w:drawing>
          <wp:inline distT="0" distB="0" distL="0" distR="0">
            <wp:extent cx="6410325" cy="8777022"/>
            <wp:effectExtent l="19050" t="0" r="9525"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6415650" cy="8784313"/>
                    </a:xfrm>
                    <a:prstGeom prst="rect">
                      <a:avLst/>
                    </a:prstGeom>
                    <a:noFill/>
                    <a:ln w="9525">
                      <a:noFill/>
                      <a:miter lim="800000"/>
                      <a:headEnd/>
                      <a:tailEnd/>
                    </a:ln>
                  </pic:spPr>
                </pic:pic>
              </a:graphicData>
            </a:graphic>
          </wp:inline>
        </w:drawing>
      </w:r>
    </w:p>
    <w:p w:rsidR="0086694F" w:rsidRPr="008D2996" w:rsidRDefault="00922337" w:rsidP="0060275F">
      <w:pPr>
        <w:pStyle w:val="Titre"/>
        <w:spacing w:after="60"/>
        <w:jc w:val="both"/>
        <w:outlineLvl w:val="0"/>
      </w:pPr>
      <w:bookmarkStart w:id="216" w:name="_Toc327885014"/>
      <w:bookmarkStart w:id="217" w:name="_Toc327885599"/>
      <w:bookmarkStart w:id="218" w:name="_Toc327916526"/>
      <w:r w:rsidRPr="00922337">
        <w:lastRenderedPageBreak/>
        <w:t>A</w:t>
      </w:r>
      <w:bookmarkStart w:id="219" w:name="_Toc326155991"/>
      <w:bookmarkStart w:id="220" w:name="_Toc327916527"/>
      <w:bookmarkEnd w:id="216"/>
      <w:bookmarkEnd w:id="217"/>
      <w:bookmarkEnd w:id="218"/>
      <w:r w:rsidR="00E74A46" w:rsidRPr="00E74A46">
        <w:t>ssurance des entreprises non-agricoles</w:t>
      </w:r>
      <w:bookmarkEnd w:id="219"/>
      <w:bookmarkEnd w:id="220"/>
    </w:p>
    <w:p w:rsidR="00EE616B" w:rsidRPr="008D2996" w:rsidRDefault="00EE616B" w:rsidP="00EE616B">
      <w:pPr>
        <w:spacing w:after="60"/>
      </w:pPr>
      <w:r w:rsidRPr="00E74A46">
        <w:t>Par analogie avec les agents de la comptabilité nationale, nous distinguons l’agent « entreprises non-agricoles ». Cet agent recoupe dans les grandes lignes celui de SQS (sociétés et quasi-sociétés) de la comptabilité nationale. Nous y intégrons toutes les entreprises ou organisations qu’elle que soit leur secteur d’activité à l’exception du secteur agricole, c’est-à-dire des entreprises du secteur des hydrocarbures, de l’habitat, des travaux publics, des services, du transport et du commerce en y adjoignant les administrations.</w:t>
      </w:r>
    </w:p>
    <w:p w:rsidR="00EE616B" w:rsidRPr="008D2996" w:rsidRDefault="00EE616B" w:rsidP="00EE616B">
      <w:pPr>
        <w:spacing w:after="60" w:line="240" w:lineRule="auto"/>
      </w:pPr>
      <w:r w:rsidRPr="00E74A46">
        <w:t>En matière d’assurance correspondante, nous retenons :</w:t>
      </w:r>
    </w:p>
    <w:p w:rsidR="00EE616B" w:rsidRPr="00A23A16" w:rsidRDefault="00EE616B" w:rsidP="00EE616B">
      <w:pPr>
        <w:numPr>
          <w:ilvl w:val="0"/>
          <w:numId w:val="5"/>
        </w:numPr>
        <w:spacing w:before="120" w:line="240" w:lineRule="auto"/>
        <w:ind w:left="357" w:hanging="357"/>
        <w:rPr>
          <w:szCs w:val="21"/>
        </w:rPr>
      </w:pPr>
      <w:r w:rsidRPr="00A23A16">
        <w:rPr>
          <w:szCs w:val="21"/>
        </w:rPr>
        <w:t>L’ensemble des couvertures concernant les biens des entreprises (non agricoles) que les assureurs désignent par l’acronyme IRD que nous décomposons en Incendie, Engineering, autres couvertures classées dans nos rapports antérieurs dans les risques industriels et 60% des risques simples </w:t>
      </w:r>
    </w:p>
    <w:p w:rsidR="00EE616B" w:rsidRPr="00A23A16" w:rsidRDefault="00EE616B" w:rsidP="00EE616B">
      <w:pPr>
        <w:numPr>
          <w:ilvl w:val="0"/>
          <w:numId w:val="5"/>
        </w:numPr>
        <w:spacing w:before="120" w:line="240" w:lineRule="auto"/>
        <w:ind w:left="357" w:hanging="357"/>
        <w:rPr>
          <w:szCs w:val="21"/>
        </w:rPr>
      </w:pPr>
      <w:r w:rsidRPr="00A23A16">
        <w:rPr>
          <w:szCs w:val="21"/>
        </w:rPr>
        <w:t>L’assurance automobile, dite des flottes ou parc des entreprises, telle que nous l’estimons pour chaque entreprise. </w:t>
      </w:r>
    </w:p>
    <w:p w:rsidR="00EE616B" w:rsidRPr="00A23A16" w:rsidRDefault="00EE616B" w:rsidP="00EE616B">
      <w:pPr>
        <w:numPr>
          <w:ilvl w:val="0"/>
          <w:numId w:val="5"/>
        </w:numPr>
        <w:spacing w:before="120" w:line="240" w:lineRule="auto"/>
        <w:ind w:left="357" w:hanging="357"/>
        <w:rPr>
          <w:szCs w:val="21"/>
        </w:rPr>
      </w:pPr>
      <w:r w:rsidRPr="00A23A16">
        <w:rPr>
          <w:szCs w:val="21"/>
        </w:rPr>
        <w:t>Les assurances « </w:t>
      </w:r>
      <w:r w:rsidR="00A10989">
        <w:rPr>
          <w:szCs w:val="21"/>
        </w:rPr>
        <w:t>t</w:t>
      </w:r>
      <w:r w:rsidRPr="00A23A16">
        <w:rPr>
          <w:szCs w:val="21"/>
        </w:rPr>
        <w:t>ransports » quel qu’en soit le mode ou l’objet couvert (le corps ou les facultés) à l’exception des assurances des corps de bateaux de plaisance ou de pêche artisanale. La couverture des importations est considérée ici comme dépense de l’entreprise non-agricole au même titre que toutes les autres dépenses d’assurance et ce, même si elle fait l’objet d’un examen séparé pour les besoins d’une analyse plus fine.</w:t>
      </w:r>
    </w:p>
    <w:p w:rsidR="00EE616B" w:rsidRPr="00A23A16" w:rsidRDefault="00EE616B" w:rsidP="00EE616B">
      <w:pPr>
        <w:numPr>
          <w:ilvl w:val="0"/>
          <w:numId w:val="5"/>
        </w:numPr>
        <w:spacing w:before="120" w:line="240" w:lineRule="auto"/>
        <w:ind w:left="357" w:hanging="357"/>
        <w:rPr>
          <w:b/>
          <w:szCs w:val="21"/>
        </w:rPr>
      </w:pPr>
      <w:r w:rsidRPr="00A23A16">
        <w:rPr>
          <w:szCs w:val="21"/>
        </w:rPr>
        <w:t xml:space="preserve">Les assurances des ménages payées par les entreprises. Elles comprennent les contrats souscrits totalement par les employeurs au profit de leurs employés (cas de l’assurance capital-retraite) et 50% de l’assurance groupe. </w:t>
      </w:r>
    </w:p>
    <w:p w:rsidR="00EE616B" w:rsidRPr="00A23A16" w:rsidRDefault="00EE616B" w:rsidP="00CD4927">
      <w:pPr>
        <w:numPr>
          <w:ilvl w:val="0"/>
          <w:numId w:val="5"/>
        </w:numPr>
        <w:spacing w:before="120" w:line="240" w:lineRule="auto"/>
        <w:ind w:left="357" w:hanging="357"/>
        <w:rPr>
          <w:szCs w:val="21"/>
        </w:rPr>
      </w:pPr>
      <w:r w:rsidRPr="00A23A16">
        <w:rPr>
          <w:szCs w:val="21"/>
        </w:rPr>
        <w:t xml:space="preserve">Les assurances « crédit à l’exportation » totalement souscrites par les entreprises, plus à partir de 2007, l’assurance du crédit inter-entreprises (produit </w:t>
      </w:r>
      <w:r w:rsidR="00A10989">
        <w:rPr>
          <w:szCs w:val="21"/>
        </w:rPr>
        <w:t> « g</w:t>
      </w:r>
      <w:r w:rsidRPr="00A23A16">
        <w:rPr>
          <w:szCs w:val="21"/>
        </w:rPr>
        <w:t>loballiance</w:t>
      </w:r>
      <w:r w:rsidR="00A10989">
        <w:rPr>
          <w:szCs w:val="21"/>
        </w:rPr>
        <w:t> »</w:t>
      </w:r>
      <w:r w:rsidRPr="00A23A16">
        <w:rPr>
          <w:szCs w:val="21"/>
        </w:rPr>
        <w:t xml:space="preserve"> commercialisé par la CAGEX).</w:t>
      </w:r>
    </w:p>
    <w:p w:rsidR="00EE616B" w:rsidRPr="008D2996" w:rsidRDefault="00EE616B" w:rsidP="00CD4927">
      <w:pPr>
        <w:pStyle w:val="Titre2"/>
        <w:spacing w:before="360" w:after="120" w:line="240" w:lineRule="auto"/>
      </w:pPr>
      <w:bookmarkStart w:id="221" w:name="_Toc326155992"/>
      <w:bookmarkStart w:id="222" w:name="_Toc327883428"/>
      <w:bookmarkStart w:id="223" w:name="_Toc327883608"/>
      <w:bookmarkStart w:id="224" w:name="_Toc327883952"/>
      <w:bookmarkStart w:id="225" w:name="_Toc327884462"/>
      <w:bookmarkStart w:id="226" w:name="_Toc327885016"/>
      <w:bookmarkStart w:id="227" w:name="_Toc327885601"/>
      <w:bookmarkStart w:id="228" w:name="_Toc327916528"/>
      <w:r w:rsidRPr="00E74A46">
        <w:t>Evolution et structure</w:t>
      </w:r>
      <w:bookmarkEnd w:id="221"/>
      <w:bookmarkEnd w:id="222"/>
      <w:bookmarkEnd w:id="223"/>
      <w:bookmarkEnd w:id="224"/>
      <w:bookmarkEnd w:id="225"/>
      <w:bookmarkEnd w:id="226"/>
      <w:bookmarkEnd w:id="227"/>
      <w:bookmarkEnd w:id="228"/>
      <w:r w:rsidRPr="00E74A46">
        <w:t> </w:t>
      </w:r>
    </w:p>
    <w:p w:rsidR="00EE616B" w:rsidRPr="008D2996" w:rsidRDefault="00EE616B" w:rsidP="00EE616B">
      <w:pPr>
        <w:spacing w:before="120" w:line="240" w:lineRule="auto"/>
        <w:rPr>
          <w:sz w:val="20"/>
        </w:rPr>
      </w:pPr>
      <w:r w:rsidRPr="00E74A46">
        <w:t xml:space="preserve">En 2010, la production réalisée auprès des entreprises non agricoles (hors acceptations internationales) atteint la somme de 40,5 </w:t>
      </w:r>
      <w:r w:rsidR="009135A6">
        <w:t>milliard</w:t>
      </w:r>
      <w:r w:rsidRPr="00E74A46">
        <w:t xml:space="preserve"> de dinars en baisse de 1,3% par rapport à l’année 2009. Ce marché représente </w:t>
      </w:r>
      <w:r w:rsidR="003A795B">
        <w:t>49,9</w:t>
      </w:r>
      <w:r w:rsidRPr="00E74A46">
        <w:t xml:space="preserve">% de l'ensemble du marché des assurances </w:t>
      </w:r>
      <w:r w:rsidRPr="00E74A46">
        <w:rPr>
          <w:color w:val="0000FF"/>
          <w:sz w:val="20"/>
        </w:rPr>
        <w:t>(tableaux n°10.13</w:t>
      </w:r>
      <w:r w:rsidR="007F5C7F">
        <w:rPr>
          <w:color w:val="0000FF"/>
          <w:sz w:val="20"/>
        </w:rPr>
        <w:t xml:space="preserve"> </w:t>
      </w:r>
      <w:r w:rsidRPr="00E74A46">
        <w:rPr>
          <w:color w:val="0000FF"/>
          <w:sz w:val="20"/>
        </w:rPr>
        <w:t>et n°10.15)</w:t>
      </w:r>
      <w:r w:rsidRPr="00E74A46">
        <w:rPr>
          <w:sz w:val="20"/>
        </w:rPr>
        <w:t>.</w:t>
      </w:r>
    </w:p>
    <w:p w:rsidR="00EE616B" w:rsidRPr="008D2996" w:rsidRDefault="00EE616B" w:rsidP="00EE616B">
      <w:pPr>
        <w:spacing w:after="60"/>
      </w:pPr>
      <w:r w:rsidRPr="00E74A46">
        <w:t xml:space="preserve">En termes de structure, la branche </w:t>
      </w:r>
      <w:r w:rsidR="00A10989">
        <w:t>« </w:t>
      </w:r>
      <w:r w:rsidRPr="00E74A46">
        <w:t>IRD</w:t>
      </w:r>
      <w:r w:rsidR="00A10989">
        <w:t> »</w:t>
      </w:r>
      <w:r w:rsidRPr="00E74A46">
        <w:t xml:space="preserve">, en raison de la très forte baisse marquée en « engineering », détient 59,6% de ce segment contre 64,3% en 2009. La branche </w:t>
      </w:r>
      <w:r w:rsidR="00DF0CB7">
        <w:t>« </w:t>
      </w:r>
      <w:r w:rsidRPr="00E74A46">
        <w:t>transport</w:t>
      </w:r>
      <w:r w:rsidR="00DF0CB7">
        <w:t> »</w:t>
      </w:r>
      <w:r w:rsidRPr="00E74A46">
        <w:t xml:space="preserve">  se maintient avec une part de 15</w:t>
      </w:r>
      <w:r w:rsidR="00DF0CB7">
        <w:t>,0</w:t>
      </w:r>
      <w:r w:rsidRPr="00E74A46">
        <w:t>% malgré une baisse de 1,</w:t>
      </w:r>
      <w:r w:rsidR="00970141">
        <w:t>5</w:t>
      </w:r>
      <w:r w:rsidRPr="00E74A46">
        <w:t>% alors que l’assurance « </w:t>
      </w:r>
      <w:r w:rsidR="00DF0CB7">
        <w:t>a</w:t>
      </w:r>
      <w:r w:rsidRPr="00E74A46">
        <w:t>utomobile » (assurance des flottes) gagne 4,4 points (19,7% contre 1</w:t>
      </w:r>
      <w:r w:rsidR="00970141">
        <w:t>5,3</w:t>
      </w:r>
      <w:r w:rsidRPr="00E74A46">
        <w:t>% en 2009).</w:t>
      </w:r>
    </w:p>
    <w:p w:rsidR="00EE616B" w:rsidRPr="008D2996" w:rsidRDefault="00EE616B" w:rsidP="00EE616B">
      <w:pPr>
        <w:spacing w:after="60"/>
      </w:pPr>
      <w:r w:rsidRPr="00E74A46">
        <w:t xml:space="preserve">Les assurances de personnes en hausse de </w:t>
      </w:r>
      <w:r w:rsidR="004604D8">
        <w:t>0,7</w:t>
      </w:r>
      <w:r w:rsidRPr="00E74A46">
        <w:t>%</w:t>
      </w:r>
      <w:r w:rsidR="00E33509">
        <w:t xml:space="preserve"> </w:t>
      </w:r>
      <w:r w:rsidRPr="00E74A46">
        <w:t>(</w:t>
      </w:r>
      <w:r w:rsidR="004604D8">
        <w:t>32,1</w:t>
      </w:r>
      <w:r w:rsidRPr="00E74A46">
        <w:t>% en</w:t>
      </w:r>
      <w:r w:rsidR="00970141">
        <w:t xml:space="preserve"> 2009) détiennent une part de 5</w:t>
      </w:r>
      <w:r w:rsidR="00590886">
        <w:t>,0</w:t>
      </w:r>
      <w:r w:rsidR="00970141" w:rsidRPr="00E74A46">
        <w:t xml:space="preserve"> </w:t>
      </w:r>
      <w:r w:rsidRPr="00E74A46">
        <w:t>% en 2010 contre 4,9% en 2009.</w:t>
      </w:r>
    </w:p>
    <w:p w:rsidR="00EE616B" w:rsidRPr="008D2996" w:rsidRDefault="00EE616B" w:rsidP="00EE616B">
      <w:pPr>
        <w:spacing w:after="60"/>
      </w:pPr>
      <w:r w:rsidRPr="00E74A46">
        <w:t>Pour ce qui est de l'assurance « </w:t>
      </w:r>
      <w:r w:rsidR="00E33509">
        <w:t>c</w:t>
      </w:r>
      <w:r w:rsidRPr="00E74A46">
        <w:t>rédit », sa part demeure insignifiante avec 0,7% contre 0,4% en 2009.</w:t>
      </w:r>
    </w:p>
    <w:p w:rsidR="00EE616B" w:rsidRPr="008D2996" w:rsidRDefault="00EE616B" w:rsidP="00EE616B">
      <w:pPr>
        <w:spacing w:before="120"/>
      </w:pPr>
      <w:r w:rsidRPr="00E74A46">
        <w:t>La régression marquée par la branche IRD (-8,</w:t>
      </w:r>
      <w:r w:rsidR="00463529">
        <w:t>5</w:t>
      </w:r>
      <w:r w:rsidRPr="00E74A46">
        <w:t>%) est due à la baisse du chiffre d’affaires de la branche « engineering » (-</w:t>
      </w:r>
      <w:r w:rsidR="00463529" w:rsidRPr="00E74A46">
        <w:t>2</w:t>
      </w:r>
      <w:r w:rsidR="00463529">
        <w:t>3,9</w:t>
      </w:r>
      <w:r w:rsidRPr="00E74A46">
        <w:t>%) et de la branche « incendie »(-3,2)</w:t>
      </w:r>
    </w:p>
    <w:p w:rsidR="00EE616B" w:rsidRPr="008D2996" w:rsidRDefault="00EE616B" w:rsidP="00EE616B">
      <w:pPr>
        <w:spacing w:before="120"/>
      </w:pPr>
      <w:r w:rsidRPr="00E74A46">
        <w:t xml:space="preserve">La hausse enregistrée dans la branche « crédit » revient en partie à la commercialisation par </w:t>
      </w:r>
      <w:smartTag w:uri="urn:schemas-microsoft-com:office:smarttags" w:element="PersonName">
        <w:smartTagPr>
          <w:attr w:name="ProductID" w:val="La CAGEX"/>
        </w:smartTagPr>
        <w:r w:rsidRPr="00E74A46">
          <w:t>la CAGEX</w:t>
        </w:r>
      </w:smartTag>
      <w:r w:rsidRPr="00E74A46">
        <w:t xml:space="preserve"> depuis 2007 du crédit « inter-entreprises » (crédit domestique).</w:t>
      </w:r>
    </w:p>
    <w:p w:rsidR="00EE616B" w:rsidRPr="008D2996" w:rsidRDefault="00EE616B" w:rsidP="00EE616B">
      <w:pPr>
        <w:pStyle w:val="Titre2"/>
      </w:pPr>
      <w:bookmarkStart w:id="229" w:name="_Toc326155993"/>
      <w:bookmarkStart w:id="230" w:name="_Toc327883429"/>
      <w:bookmarkStart w:id="231" w:name="_Toc327883609"/>
      <w:bookmarkStart w:id="232" w:name="_Toc327883953"/>
      <w:bookmarkStart w:id="233" w:name="_Toc327884463"/>
      <w:bookmarkStart w:id="234" w:name="_Toc327885017"/>
      <w:bookmarkStart w:id="235" w:name="_Toc327885602"/>
      <w:bookmarkStart w:id="236" w:name="_Toc327916529"/>
      <w:r w:rsidRPr="00E74A46">
        <w:lastRenderedPageBreak/>
        <w:t>Taux de pénétration</w:t>
      </w:r>
      <w:bookmarkEnd w:id="229"/>
      <w:bookmarkEnd w:id="230"/>
      <w:bookmarkEnd w:id="231"/>
      <w:bookmarkEnd w:id="232"/>
      <w:bookmarkEnd w:id="233"/>
      <w:bookmarkEnd w:id="234"/>
      <w:bookmarkEnd w:id="235"/>
      <w:bookmarkEnd w:id="236"/>
    </w:p>
    <w:p w:rsidR="00EE616B" w:rsidRPr="008D2996" w:rsidRDefault="00EE616B" w:rsidP="00EE616B">
      <w:r w:rsidRPr="00E74A46">
        <w:t>Selon les données de l’O</w:t>
      </w:r>
      <w:r w:rsidR="00CD4927">
        <w:t>.</w:t>
      </w:r>
      <w:r w:rsidRPr="00E74A46">
        <w:t>N</w:t>
      </w:r>
      <w:r w:rsidR="00CD4927">
        <w:t>.</w:t>
      </w:r>
      <w:r w:rsidRPr="00E74A46">
        <w:t>S</w:t>
      </w:r>
      <w:r w:rsidR="00CD4927">
        <w:t>.</w:t>
      </w:r>
      <w:r w:rsidRPr="00E74A46">
        <w:t>, le PIB hors agriculture a connu en 2010 une hausse de 21,4%. Les dépenses en assurance des « </w:t>
      </w:r>
      <w:r w:rsidR="007A15CE">
        <w:t>e</w:t>
      </w:r>
      <w:r w:rsidRPr="00E74A46">
        <w:t xml:space="preserve">ntreprises non agricoles » ont enregistré une baisse de 1,3% par rapport à 2009. Comme conséquence, le taux de pénétration de cet agent s’en trouve diminué, il passe de 0,45% en 2009 à 0,37% en 2010. </w:t>
      </w:r>
    </w:p>
    <w:p w:rsidR="00C40CDF" w:rsidRDefault="003A6049" w:rsidP="0086694F">
      <w:r>
        <w:rPr>
          <w:noProof/>
        </w:rPr>
        <w:drawing>
          <wp:inline distT="0" distB="0" distL="0" distR="0">
            <wp:extent cx="6115050" cy="3778250"/>
            <wp:effectExtent l="19050" t="0" r="0" b="0"/>
            <wp:docPr id="2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120130" cy="3781389"/>
                    </a:xfrm>
                    <a:prstGeom prst="rect">
                      <a:avLst/>
                    </a:prstGeom>
                    <a:noFill/>
                    <a:ln w="9525">
                      <a:noFill/>
                      <a:miter lim="800000"/>
                      <a:headEnd/>
                      <a:tailEnd/>
                    </a:ln>
                  </pic:spPr>
                </pic:pic>
              </a:graphicData>
            </a:graphic>
          </wp:inline>
        </w:drawing>
      </w:r>
    </w:p>
    <w:p w:rsidR="00766916" w:rsidRPr="008D2996" w:rsidRDefault="00C40CDF" w:rsidP="0086694F">
      <w:r w:rsidRPr="00C40CDF">
        <w:rPr>
          <w:noProof/>
        </w:rPr>
        <w:drawing>
          <wp:inline distT="0" distB="0" distL="0" distR="0">
            <wp:extent cx="6120130" cy="2499771"/>
            <wp:effectExtent l="19050" t="0" r="0" b="0"/>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6120130" cy="2499771"/>
                    </a:xfrm>
                    <a:prstGeom prst="rect">
                      <a:avLst/>
                    </a:prstGeom>
                    <a:noFill/>
                    <a:ln w="9525">
                      <a:noFill/>
                      <a:miter lim="800000"/>
                      <a:headEnd/>
                      <a:tailEnd/>
                    </a:ln>
                  </pic:spPr>
                </pic:pic>
              </a:graphicData>
            </a:graphic>
          </wp:inline>
        </w:drawing>
      </w:r>
    </w:p>
    <w:p w:rsidR="0086694F" w:rsidRPr="008D2996" w:rsidRDefault="0086694F" w:rsidP="0086694F">
      <w:pPr>
        <w:rPr>
          <w:highlight w:val="yellow"/>
        </w:rPr>
      </w:pPr>
    </w:p>
    <w:p w:rsidR="00EE616B" w:rsidRPr="008D2996" w:rsidRDefault="00EE616B" w:rsidP="00EE616B">
      <w:pPr>
        <w:pStyle w:val="Titre1"/>
      </w:pPr>
      <w:bookmarkStart w:id="237" w:name="_Toc326155994"/>
      <w:bookmarkStart w:id="238" w:name="_Toc327883430"/>
      <w:bookmarkStart w:id="239" w:name="_Toc327916530"/>
      <w:r w:rsidRPr="00E74A46">
        <w:lastRenderedPageBreak/>
        <w:t xml:space="preserve">assurances </w:t>
      </w:r>
      <w:r>
        <w:t xml:space="preserve">du secteur </w:t>
      </w:r>
      <w:r w:rsidRPr="00E74A46">
        <w:t>agricole</w:t>
      </w:r>
      <w:bookmarkEnd w:id="237"/>
      <w:bookmarkEnd w:id="238"/>
      <w:bookmarkEnd w:id="239"/>
    </w:p>
    <w:p w:rsidR="00EE616B" w:rsidRPr="008D2996" w:rsidRDefault="00EE616B" w:rsidP="00EE616B">
      <w:pPr>
        <w:pStyle w:val="Titre2"/>
        <w:spacing w:before="120"/>
      </w:pPr>
      <w:bookmarkStart w:id="240" w:name="_Toc326155995"/>
      <w:bookmarkStart w:id="241" w:name="_Toc327883431"/>
      <w:bookmarkStart w:id="242" w:name="_Toc327883611"/>
      <w:bookmarkStart w:id="243" w:name="_Toc327883955"/>
      <w:bookmarkStart w:id="244" w:name="_Toc327885019"/>
      <w:bookmarkStart w:id="245" w:name="_Toc327885604"/>
      <w:bookmarkStart w:id="246" w:name="_Toc327916531"/>
      <w:r w:rsidRPr="00E74A46">
        <w:t>Evolution et structure</w:t>
      </w:r>
      <w:bookmarkEnd w:id="240"/>
      <w:bookmarkEnd w:id="241"/>
      <w:bookmarkEnd w:id="242"/>
      <w:bookmarkEnd w:id="243"/>
      <w:bookmarkEnd w:id="244"/>
      <w:bookmarkEnd w:id="245"/>
      <w:bookmarkEnd w:id="246"/>
    </w:p>
    <w:p w:rsidR="00EE616B" w:rsidRPr="008D2996" w:rsidRDefault="00EE616B" w:rsidP="00EE616B">
      <w:r w:rsidRPr="00E74A46">
        <w:t xml:space="preserve">Le montant des cotisations des assurances du secteur agricole s’élève en 2010 à 1,2 </w:t>
      </w:r>
      <w:r w:rsidR="009135A6">
        <w:t>milliard</w:t>
      </w:r>
      <w:r w:rsidRPr="00E74A46">
        <w:t xml:space="preserve"> de dinars, représentant 1,5 % du marché global des assurances hors acceptations internationales</w:t>
      </w:r>
      <w:r>
        <w:t xml:space="preserve">. Il </w:t>
      </w:r>
      <w:r w:rsidRPr="00E74A46">
        <w:t xml:space="preserve"> enregistr</w:t>
      </w:r>
      <w:r>
        <w:t>e</w:t>
      </w:r>
      <w:r w:rsidRPr="00E74A46">
        <w:t xml:space="preserve"> une évolution de 18,5%</w:t>
      </w:r>
      <w:r>
        <w:t xml:space="preserve"> </w:t>
      </w:r>
      <w:r w:rsidRPr="00E74A46">
        <w:t>(</w:t>
      </w:r>
      <w:r w:rsidRPr="00E74A46">
        <w:rPr>
          <w:color w:val="0000FF"/>
          <w:sz w:val="20"/>
        </w:rPr>
        <w:t>tableaux n°</w:t>
      </w:r>
      <w:r w:rsidR="005A6CF0">
        <w:rPr>
          <w:color w:val="0000FF"/>
          <w:sz w:val="20"/>
        </w:rPr>
        <w:t>10</w:t>
      </w:r>
      <w:r w:rsidRPr="00E74A46">
        <w:rPr>
          <w:color w:val="0000FF"/>
          <w:sz w:val="20"/>
        </w:rPr>
        <w:t>.16</w:t>
      </w:r>
      <w:r w:rsidR="005A6CF0">
        <w:rPr>
          <w:color w:val="0000FF"/>
          <w:sz w:val="20"/>
        </w:rPr>
        <w:t xml:space="preserve"> </w:t>
      </w:r>
      <w:r w:rsidRPr="00E74A46">
        <w:rPr>
          <w:color w:val="0000FF"/>
          <w:sz w:val="20"/>
        </w:rPr>
        <w:t>et n°</w:t>
      </w:r>
      <w:r w:rsidR="005A6CF0">
        <w:rPr>
          <w:color w:val="0000FF"/>
          <w:sz w:val="20"/>
        </w:rPr>
        <w:t>10</w:t>
      </w:r>
      <w:r w:rsidRPr="00E74A46">
        <w:rPr>
          <w:color w:val="0000FF"/>
          <w:sz w:val="20"/>
        </w:rPr>
        <w:t>.18</w:t>
      </w:r>
      <w:r w:rsidRPr="00E74A46">
        <w:rPr>
          <w:sz w:val="20"/>
        </w:rPr>
        <w:t>)</w:t>
      </w:r>
      <w:r w:rsidRPr="00E74A46">
        <w:t xml:space="preserve">. Après plusieurs années de baisse, la situation de la branche </w:t>
      </w:r>
      <w:r>
        <w:t>se</w:t>
      </w:r>
      <w:r w:rsidRPr="00E74A46">
        <w:t xml:space="preserve"> redresse</w:t>
      </w:r>
      <w:r w:rsidR="00E32B00">
        <w:t>.</w:t>
      </w:r>
      <w:r w:rsidRPr="00E74A46">
        <w:t xml:space="preserve"> </w:t>
      </w:r>
      <w:r w:rsidR="00087583" w:rsidRPr="00E74A46">
        <w:t xml:space="preserve"> </w:t>
      </w:r>
    </w:p>
    <w:p w:rsidR="00EE616B" w:rsidRPr="008D2996" w:rsidRDefault="00EE616B" w:rsidP="00EE616B">
      <w:r w:rsidRPr="00E74A46">
        <w:t>L'analyse par sous branche permet de mettre en évidence ce qui suit :</w:t>
      </w:r>
    </w:p>
    <w:p w:rsidR="00EE616B" w:rsidRPr="008D2996" w:rsidRDefault="00EE616B" w:rsidP="00EE616B">
      <w:pPr>
        <w:numPr>
          <w:ilvl w:val="0"/>
          <w:numId w:val="6"/>
        </w:numPr>
        <w:spacing w:before="120"/>
        <w:ind w:left="357" w:hanging="357"/>
      </w:pPr>
      <w:r w:rsidRPr="00E74A46">
        <w:t xml:space="preserve">la branche « récolte » qui représente 37,8% de la production du secteur agricole, </w:t>
      </w:r>
      <w:r>
        <w:t>marque une régression de (</w:t>
      </w:r>
      <w:r w:rsidR="00087583">
        <w:t>3,9%</w:t>
      </w:r>
      <w:r>
        <w:t>) </w:t>
      </w:r>
      <w:r w:rsidRPr="00E74A46">
        <w:t>par rapport à 2009</w:t>
      </w:r>
      <w:r>
        <w:t>;</w:t>
      </w:r>
    </w:p>
    <w:p w:rsidR="00EE616B" w:rsidRPr="008D2996" w:rsidRDefault="00EE616B" w:rsidP="00EE616B">
      <w:pPr>
        <w:numPr>
          <w:ilvl w:val="0"/>
          <w:numId w:val="6"/>
        </w:numPr>
        <w:spacing w:before="120"/>
        <w:ind w:left="357" w:hanging="357"/>
      </w:pPr>
      <w:r w:rsidRPr="00E74A46">
        <w:t>l’assurance « bétail » qui représente 26% de la production du secteur agricole</w:t>
      </w:r>
      <w:r>
        <w:t> marque une évolution de</w:t>
      </w:r>
      <w:r w:rsidRPr="00E74A46">
        <w:t xml:space="preserve"> +52,5%</w:t>
      </w:r>
      <w:r>
        <w:t> ;</w:t>
      </w:r>
    </w:p>
    <w:p w:rsidR="00EE616B" w:rsidRPr="008D2996" w:rsidRDefault="00EE616B" w:rsidP="00EE616B">
      <w:pPr>
        <w:numPr>
          <w:ilvl w:val="0"/>
          <w:numId w:val="6"/>
        </w:numPr>
        <w:spacing w:before="120"/>
        <w:ind w:left="357" w:hanging="357"/>
      </w:pPr>
      <w:r w:rsidRPr="00E74A46">
        <w:t>la branche « </w:t>
      </w:r>
      <w:r w:rsidR="00E32B00">
        <w:t>a</w:t>
      </w:r>
      <w:r w:rsidRPr="00E74A46">
        <w:t xml:space="preserve">uto et matériel agricole » qui </w:t>
      </w:r>
      <w:r>
        <w:t xml:space="preserve">représente 31,7% </w:t>
      </w:r>
      <w:r w:rsidRPr="00E74A46">
        <w:t>de la production du secteur agricole</w:t>
      </w:r>
      <w:r>
        <w:t xml:space="preserve">, </w:t>
      </w:r>
      <w:r w:rsidRPr="00E74A46">
        <w:t>enregistr</w:t>
      </w:r>
      <w:r>
        <w:t>e</w:t>
      </w:r>
      <w:r w:rsidRPr="00E74A46">
        <w:t xml:space="preserve"> </w:t>
      </w:r>
      <w:r>
        <w:t xml:space="preserve">une </w:t>
      </w:r>
      <w:r w:rsidRPr="00E74A46">
        <w:t>hausse de 43,1%</w:t>
      </w:r>
      <w:r>
        <w:t>;</w:t>
      </w:r>
    </w:p>
    <w:p w:rsidR="00EE616B" w:rsidRPr="00E2421A" w:rsidRDefault="00E45768" w:rsidP="00CD4927">
      <w:pPr>
        <w:numPr>
          <w:ilvl w:val="0"/>
          <w:numId w:val="6"/>
        </w:numPr>
        <w:spacing w:before="120"/>
        <w:ind w:left="357" w:hanging="357"/>
      </w:pPr>
      <w:r w:rsidRPr="00E45768">
        <w:t>une baisse de 23</w:t>
      </w:r>
      <w:r w:rsidR="00E32B00">
        <w:t>,0</w:t>
      </w:r>
      <w:r w:rsidRPr="00E45768">
        <w:t>% enregistrée dans la branche «</w:t>
      </w:r>
      <w:r w:rsidR="00E32B00">
        <w:t xml:space="preserve"> r</w:t>
      </w:r>
      <w:r w:rsidRPr="00E45768">
        <w:t xml:space="preserve">isques </w:t>
      </w:r>
      <w:r w:rsidR="00E32B00">
        <w:t>d</w:t>
      </w:r>
      <w:r w:rsidRPr="00E45768">
        <w:t>ivers », au sein desquels sont classées les multirisques, et qui représente un poids de 4,5% de la production du secteur agricole.</w:t>
      </w:r>
    </w:p>
    <w:p w:rsidR="00EE616B" w:rsidRPr="008D2996" w:rsidRDefault="00EE616B" w:rsidP="00CD4927">
      <w:pPr>
        <w:pStyle w:val="Titre2"/>
      </w:pPr>
      <w:bookmarkStart w:id="247" w:name="_Toc326155996"/>
      <w:bookmarkStart w:id="248" w:name="_Toc327883432"/>
      <w:bookmarkStart w:id="249" w:name="_Toc327883612"/>
      <w:bookmarkStart w:id="250" w:name="_Toc327883956"/>
      <w:bookmarkStart w:id="251" w:name="_Toc327885020"/>
      <w:bookmarkStart w:id="252" w:name="_Toc327885605"/>
      <w:bookmarkStart w:id="253" w:name="_Toc327916532"/>
      <w:r w:rsidRPr="00E74A46">
        <w:t>Taux de pénétration</w:t>
      </w:r>
      <w:bookmarkEnd w:id="247"/>
      <w:bookmarkEnd w:id="248"/>
      <w:bookmarkEnd w:id="249"/>
      <w:bookmarkEnd w:id="250"/>
      <w:bookmarkEnd w:id="251"/>
      <w:bookmarkEnd w:id="252"/>
      <w:bookmarkEnd w:id="253"/>
    </w:p>
    <w:p w:rsidR="00EE616B" w:rsidRPr="008D2996" w:rsidRDefault="00EE616B" w:rsidP="00EE616B">
      <w:r w:rsidRPr="00E74A46">
        <w:t>Selon les données de l’Office National des Statistiques, la valeur ajoutée du secteur agricole a connu en 2010 une hausse de 9,6% par rapport à l'année 2009.</w:t>
      </w:r>
    </w:p>
    <w:p w:rsidR="00EE616B" w:rsidRDefault="00EE616B" w:rsidP="00EE616B">
      <w:r w:rsidRPr="00E74A46">
        <w:t xml:space="preserve">L’augmentation (+18,5%) des dépenses </w:t>
      </w:r>
      <w:r w:rsidR="00EE5C7E">
        <w:t xml:space="preserve">en </w:t>
      </w:r>
      <w:r w:rsidRPr="00E74A46">
        <w:t xml:space="preserve">assurances </w:t>
      </w:r>
      <w:r w:rsidR="00EE5C7E">
        <w:t xml:space="preserve">agricole </w:t>
      </w:r>
      <w:r w:rsidRPr="00E74A46">
        <w:t xml:space="preserve">parallèlement à une croissance moins importante de la valeur ajoutée sectorielle a induit une légère </w:t>
      </w:r>
      <w:r>
        <w:t>hausse</w:t>
      </w:r>
      <w:r w:rsidRPr="00E74A46">
        <w:t xml:space="preserve"> du taux de pénétration, qui passe de 0,11% en 2009 à 0,12% en 2010. </w:t>
      </w:r>
    </w:p>
    <w:p w:rsidR="004B37C8" w:rsidRPr="008D2996" w:rsidRDefault="003A6049" w:rsidP="0086694F">
      <w:r>
        <w:rPr>
          <w:noProof/>
        </w:rPr>
        <w:drawing>
          <wp:inline distT="0" distB="0" distL="0" distR="0">
            <wp:extent cx="6120130" cy="247981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120130" cy="2479813"/>
                    </a:xfrm>
                    <a:prstGeom prst="rect">
                      <a:avLst/>
                    </a:prstGeom>
                    <a:noFill/>
                    <a:ln w="9525">
                      <a:noFill/>
                      <a:miter lim="800000"/>
                      <a:headEnd/>
                      <a:tailEnd/>
                    </a:ln>
                  </pic:spPr>
                </pic:pic>
              </a:graphicData>
            </a:graphic>
          </wp:inline>
        </w:drawing>
      </w:r>
    </w:p>
    <w:p w:rsidR="0086694F" w:rsidRPr="008D2996" w:rsidRDefault="0086694F" w:rsidP="0086694F">
      <w:pPr>
        <w:rPr>
          <w:highlight w:val="yellow"/>
        </w:rPr>
      </w:pPr>
    </w:p>
    <w:p w:rsidR="0086694F" w:rsidRPr="008D2996" w:rsidRDefault="005A6CF0" w:rsidP="0086694F">
      <w:pPr>
        <w:rPr>
          <w:highlight w:val="yellow"/>
        </w:rPr>
      </w:pPr>
      <w:r w:rsidRPr="005A6CF0">
        <w:rPr>
          <w:noProof/>
        </w:rPr>
        <w:lastRenderedPageBreak/>
        <w:drawing>
          <wp:inline distT="0" distB="0" distL="0" distR="0">
            <wp:extent cx="6118919" cy="3019825"/>
            <wp:effectExtent l="1905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6120130" cy="3020423"/>
                    </a:xfrm>
                    <a:prstGeom prst="rect">
                      <a:avLst/>
                    </a:prstGeom>
                    <a:noFill/>
                    <a:ln w="9525">
                      <a:noFill/>
                      <a:miter lim="800000"/>
                      <a:headEnd/>
                      <a:tailEnd/>
                    </a:ln>
                  </pic:spPr>
                </pic:pic>
              </a:graphicData>
            </a:graphic>
          </wp:inline>
        </w:drawing>
      </w:r>
    </w:p>
    <w:p w:rsidR="00062F66" w:rsidRPr="008D2996" w:rsidRDefault="00062F66" w:rsidP="00062F66">
      <w:pPr>
        <w:pStyle w:val="Titre1"/>
      </w:pPr>
      <w:bookmarkStart w:id="254" w:name="_Toc326155997"/>
      <w:bookmarkStart w:id="255" w:name="_Toc327883433"/>
      <w:bookmarkStart w:id="256" w:name="_Toc327916533"/>
      <w:r w:rsidRPr="00E74A46">
        <w:t>assurance des importations</w:t>
      </w:r>
      <w:bookmarkEnd w:id="254"/>
      <w:bookmarkEnd w:id="255"/>
      <w:bookmarkEnd w:id="256"/>
    </w:p>
    <w:p w:rsidR="00062F66" w:rsidRPr="008D2996" w:rsidRDefault="00062F66" w:rsidP="00062F66">
      <w:r w:rsidRPr="00E74A46">
        <w:t xml:space="preserve">Les assurances de transport, dites de facultés maritimes et aériennes concernent, dans la configuration actuelle du marché,  quasi-exclusivement les importations. De même, la quasi-totalité des importations sont acheminées par voie maritime et aérienne. Les importations par voie terrestre sont relativement négligeables. Elles se rapportent à notre commerce avec le Maghreb, essentiellement la Tunisie. </w:t>
      </w:r>
    </w:p>
    <w:p w:rsidR="00062F66" w:rsidRDefault="00062F66" w:rsidP="00062F66">
      <w:r w:rsidRPr="00E74A46">
        <w:t>Dans ce contexte il est à la fois possible et pertinent d’isoler, au sein des assurances souscrites par les entreprises non-agricoles, les « facultés maritimes</w:t>
      </w:r>
      <w:r w:rsidR="00F70AEF">
        <w:t> »</w:t>
      </w:r>
      <w:r w:rsidRPr="00E74A46">
        <w:t xml:space="preserve"> et </w:t>
      </w:r>
      <w:r w:rsidR="00F70AEF">
        <w:t>« </w:t>
      </w:r>
      <w:r w:rsidRPr="00E74A46">
        <w:t>aériennes » comme assurance des importations et de mesurer en conséquence le taux moyen d’assurance ou taux de pénétration.</w:t>
      </w:r>
    </w:p>
    <w:p w:rsidR="00CD4927" w:rsidRPr="008D2996" w:rsidRDefault="00CD4927" w:rsidP="00062F66"/>
    <w:p w:rsidR="00062F66" w:rsidRPr="00C72E24" w:rsidRDefault="00E45768" w:rsidP="00062F66">
      <w:pPr>
        <w:pStyle w:val="Titre2"/>
        <w:spacing w:before="120"/>
      </w:pPr>
      <w:bookmarkStart w:id="257" w:name="_Toc326155998"/>
      <w:bookmarkStart w:id="258" w:name="_Toc327883434"/>
      <w:bookmarkStart w:id="259" w:name="_Toc327883614"/>
      <w:bookmarkStart w:id="260" w:name="_Toc327883958"/>
      <w:bookmarkStart w:id="261" w:name="_Toc327885022"/>
      <w:bookmarkStart w:id="262" w:name="_Toc327885607"/>
      <w:bookmarkStart w:id="263" w:name="_Toc327916534"/>
      <w:r w:rsidRPr="00E45768">
        <w:t>Evolution et structure</w:t>
      </w:r>
      <w:bookmarkEnd w:id="257"/>
      <w:bookmarkEnd w:id="258"/>
      <w:bookmarkEnd w:id="259"/>
      <w:bookmarkEnd w:id="260"/>
      <w:bookmarkEnd w:id="261"/>
      <w:bookmarkEnd w:id="262"/>
      <w:bookmarkEnd w:id="263"/>
      <w:r w:rsidRPr="00E45768">
        <w:t xml:space="preserve">  </w:t>
      </w:r>
    </w:p>
    <w:p w:rsidR="00062F66" w:rsidRPr="008D2996" w:rsidRDefault="00062F66" w:rsidP="00062F66">
      <w:r w:rsidRPr="00E74A46">
        <w:t xml:space="preserve">L'assurance des marchandises importées par voie maritime et aérienne </w:t>
      </w:r>
      <w:r w:rsidR="00C51E66" w:rsidRPr="00E74A46">
        <w:t>conn</w:t>
      </w:r>
      <w:r w:rsidR="00C51E66">
        <w:t>ait</w:t>
      </w:r>
      <w:r w:rsidR="00C51E66" w:rsidRPr="00E74A46">
        <w:t xml:space="preserve"> </w:t>
      </w:r>
      <w:r w:rsidRPr="00E74A46">
        <w:t>une baisse de 6,</w:t>
      </w:r>
      <w:r w:rsidR="00712BED">
        <w:t>3</w:t>
      </w:r>
      <w:r w:rsidRPr="00E74A46">
        <w:t xml:space="preserve">% par rapport à 2009. Le volume des importations de marchandises atteint au 31 décembre 2010 un montant de 3  </w:t>
      </w:r>
      <w:r w:rsidR="009135A6">
        <w:t>milliard</w:t>
      </w:r>
      <w:r w:rsidRPr="00E74A46">
        <w:t xml:space="preserve"> de dinars </w:t>
      </w:r>
      <w:r w:rsidRPr="009F1D58">
        <w:t>(40,</w:t>
      </w:r>
      <w:r w:rsidR="009F1D58">
        <w:t>5</w:t>
      </w:r>
      <w:r w:rsidRPr="009F1D58">
        <w:t xml:space="preserve"> </w:t>
      </w:r>
      <w:r w:rsidR="00E45768" w:rsidRPr="00E45768">
        <w:t>mi</w:t>
      </w:r>
      <w:r w:rsidR="009F1D58">
        <w:t>llions</w:t>
      </w:r>
      <w:r w:rsidR="009F1D58" w:rsidRPr="009F1D58">
        <w:t xml:space="preserve"> </w:t>
      </w:r>
      <w:r w:rsidR="00E45768" w:rsidRPr="00E45768">
        <w:t>USD)</w:t>
      </w:r>
      <w:r w:rsidRPr="00E74A46">
        <w:t xml:space="preserve"> soit 5,5% d’augmentation en dinars (3% en USD) par rapport à 2010 </w:t>
      </w:r>
      <w:r w:rsidRPr="00E74A46">
        <w:rPr>
          <w:sz w:val="20"/>
        </w:rPr>
        <w:t>(</w:t>
      </w:r>
      <w:r w:rsidRPr="00E74A46">
        <w:rPr>
          <w:color w:val="0000FF"/>
          <w:sz w:val="20"/>
        </w:rPr>
        <w:t>tableaux n° 10.19et n°10.21</w:t>
      </w:r>
      <w:r w:rsidRPr="00E74A46">
        <w:rPr>
          <w:sz w:val="20"/>
        </w:rPr>
        <w:t>)</w:t>
      </w:r>
      <w:r w:rsidRPr="00E74A46">
        <w:t>.</w:t>
      </w:r>
    </w:p>
    <w:p w:rsidR="00062F66" w:rsidRDefault="00062F66" w:rsidP="00062F66">
      <w:r w:rsidRPr="00E74A46">
        <w:t>L’assurance « </w:t>
      </w:r>
      <w:r w:rsidR="009F1D58">
        <w:t>f</w:t>
      </w:r>
      <w:r w:rsidRPr="00E74A46">
        <w:t>acultés maritimes » réalise en 2010 une baisse de 8</w:t>
      </w:r>
      <w:r w:rsidR="00C46F5D">
        <w:t>,</w:t>
      </w:r>
      <w:r w:rsidR="00C51E66">
        <w:t>1</w:t>
      </w:r>
      <w:r w:rsidRPr="00E74A46">
        <w:t>%  par rapport à 2009 et représente 96,2% du total du chiffre d’affaires des assurances des importations. Quant aux assurances des facultés aériennes, elles ont progressé de 88,8% passant de 53,9 millions de dinars en 2009 à 101,</w:t>
      </w:r>
      <w:r>
        <w:t>8</w:t>
      </w:r>
      <w:r w:rsidRPr="00E74A46">
        <w:t xml:space="preserve"> millions en 2009, et  représentent 3,8% du total du chiffre d’affaires des assurances des importations. </w:t>
      </w:r>
    </w:p>
    <w:p w:rsidR="00062F66" w:rsidRDefault="00C51E66" w:rsidP="00062F66">
      <w:r>
        <w:t>L</w:t>
      </w:r>
      <w:r w:rsidRPr="00E74A46">
        <w:t xml:space="preserve">a </w:t>
      </w:r>
      <w:r w:rsidR="00062F66" w:rsidRPr="00E74A46">
        <w:t xml:space="preserve">prépondérance des facultés maritimes sur les facultés aériennes reste aussi marquée en raison de la caractéristique de notre système d’importation. </w:t>
      </w:r>
    </w:p>
    <w:p w:rsidR="00CD4927" w:rsidRDefault="00CD4927" w:rsidP="00062F66"/>
    <w:p w:rsidR="00062F66" w:rsidRPr="008D2996" w:rsidRDefault="00062F66" w:rsidP="00062F66">
      <w:pPr>
        <w:pStyle w:val="Titre2"/>
        <w:spacing w:before="0"/>
      </w:pPr>
      <w:bookmarkStart w:id="264" w:name="_Toc326155999"/>
      <w:bookmarkStart w:id="265" w:name="_Toc327883435"/>
      <w:bookmarkStart w:id="266" w:name="_Toc327883615"/>
      <w:bookmarkStart w:id="267" w:name="_Toc327883959"/>
      <w:bookmarkStart w:id="268" w:name="_Toc327885023"/>
      <w:bookmarkStart w:id="269" w:name="_Toc327885608"/>
      <w:bookmarkStart w:id="270" w:name="_Toc327916535"/>
      <w:r w:rsidRPr="00E74A46">
        <w:lastRenderedPageBreak/>
        <w:t>Taux de pénétration</w:t>
      </w:r>
      <w:bookmarkEnd w:id="264"/>
      <w:bookmarkEnd w:id="265"/>
      <w:bookmarkEnd w:id="266"/>
      <w:bookmarkEnd w:id="267"/>
      <w:bookmarkEnd w:id="268"/>
      <w:bookmarkEnd w:id="269"/>
      <w:bookmarkEnd w:id="270"/>
    </w:p>
    <w:p w:rsidR="00062F66" w:rsidRDefault="00062F66" w:rsidP="00062F66">
      <w:r>
        <w:t xml:space="preserve">Le </w:t>
      </w:r>
      <w:r w:rsidRPr="00E74A46">
        <w:t>taux de pénétration de l'assurance</w:t>
      </w:r>
      <w:r>
        <w:t xml:space="preserve"> facultés</w:t>
      </w:r>
      <w:r w:rsidRPr="00E74A46">
        <w:t xml:space="preserve"> applicable aux importations </w:t>
      </w:r>
      <w:r>
        <w:t>a subi une</w:t>
      </w:r>
      <w:r w:rsidRPr="00E74A46">
        <w:t xml:space="preserve"> légère baisse </w:t>
      </w:r>
      <w:r>
        <w:t xml:space="preserve">passant de </w:t>
      </w:r>
      <w:r w:rsidRPr="00E74A46">
        <w:t xml:space="preserve">0,10% en 2009 </w:t>
      </w:r>
      <w:r>
        <w:t xml:space="preserve">à </w:t>
      </w:r>
      <w:r w:rsidRPr="00E74A46">
        <w:t>0,09%</w:t>
      </w:r>
      <w:r w:rsidR="00C46F5D">
        <w:t xml:space="preserve"> en 2010</w:t>
      </w:r>
      <w:r>
        <w:t>. En effet, l</w:t>
      </w:r>
      <w:r w:rsidRPr="00E74A46">
        <w:t xml:space="preserve">es dépenses en assurance des importations ont régressé de </w:t>
      </w:r>
      <w:r w:rsidR="008C4AAA">
        <w:t>6</w:t>
      </w:r>
      <w:r w:rsidR="00874E22">
        <w:t>,3%</w:t>
      </w:r>
      <w:r w:rsidRPr="00E74A46">
        <w:t xml:space="preserve"> en 2010. </w:t>
      </w:r>
      <w:r w:rsidR="00B34F32">
        <w:t>Alors</w:t>
      </w:r>
      <w:r>
        <w:t xml:space="preserve"> que </w:t>
      </w:r>
      <w:r w:rsidRPr="00E74A46">
        <w:t xml:space="preserve">la valeur totale des importations de marchandises </w:t>
      </w:r>
      <w:r>
        <w:t>a</w:t>
      </w:r>
      <w:r w:rsidRPr="00E74A46">
        <w:t xml:space="preserve"> connu un accroissement de 5,5% </w:t>
      </w:r>
      <w:r w:rsidR="00B34F32">
        <w:t>(</w:t>
      </w:r>
      <w:r w:rsidRPr="00E74A46">
        <w:rPr>
          <w:color w:val="0000FF"/>
          <w:sz w:val="20"/>
        </w:rPr>
        <w:t>tableau n° 10.21</w:t>
      </w:r>
      <w:r w:rsidRPr="00E74A46">
        <w:rPr>
          <w:sz w:val="20"/>
        </w:rPr>
        <w:t>)</w:t>
      </w:r>
      <w:r w:rsidRPr="00E74A46">
        <w:t>.</w:t>
      </w:r>
    </w:p>
    <w:p w:rsidR="0086694F" w:rsidRDefault="00E74A46" w:rsidP="009D1624">
      <w:pPr>
        <w:jc w:val="left"/>
        <w:rPr>
          <w:highlight w:val="yellow"/>
        </w:rPr>
      </w:pPr>
      <w:r w:rsidRPr="00E74A46">
        <w:rPr>
          <w:highlight w:val="yellow"/>
        </w:rPr>
        <w:t xml:space="preserve"> </w:t>
      </w:r>
      <w:r w:rsidR="009D1624" w:rsidRPr="009D1624">
        <w:rPr>
          <w:noProof/>
        </w:rPr>
        <w:drawing>
          <wp:inline distT="0" distB="0" distL="0" distR="0">
            <wp:extent cx="6124574" cy="1971675"/>
            <wp:effectExtent l="1905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6120130" cy="1970244"/>
                    </a:xfrm>
                    <a:prstGeom prst="rect">
                      <a:avLst/>
                    </a:prstGeom>
                    <a:noFill/>
                    <a:ln w="9525">
                      <a:noFill/>
                      <a:miter lim="800000"/>
                      <a:headEnd/>
                      <a:tailEnd/>
                    </a:ln>
                  </pic:spPr>
                </pic:pic>
              </a:graphicData>
            </a:graphic>
          </wp:inline>
        </w:drawing>
      </w:r>
    </w:p>
    <w:p w:rsidR="009D1624" w:rsidRPr="008D2996" w:rsidRDefault="009D1624" w:rsidP="0086694F">
      <w:pPr>
        <w:rPr>
          <w:highlight w:val="yellow"/>
        </w:rPr>
        <w:sectPr w:rsidR="009D1624" w:rsidRPr="008D2996" w:rsidSect="0086694F">
          <w:footnotePr>
            <w:numRestart w:val="eachPage"/>
          </w:footnotePr>
          <w:pgSz w:w="11906" w:h="16838" w:code="9"/>
          <w:pgMar w:top="1871" w:right="1134" w:bottom="1304" w:left="1134" w:header="709" w:footer="709" w:gutter="0"/>
          <w:cols w:space="708"/>
          <w:docGrid w:linePitch="360"/>
        </w:sectPr>
      </w:pPr>
      <w:r w:rsidRPr="009D1624">
        <w:rPr>
          <w:noProof/>
        </w:rPr>
        <w:drawing>
          <wp:inline distT="0" distB="0" distL="0" distR="0">
            <wp:extent cx="6115049" cy="2695575"/>
            <wp:effectExtent l="19050" t="0" r="1"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6120130" cy="2697815"/>
                    </a:xfrm>
                    <a:prstGeom prst="rect">
                      <a:avLst/>
                    </a:prstGeom>
                    <a:noFill/>
                    <a:ln w="9525">
                      <a:noFill/>
                      <a:miter lim="800000"/>
                      <a:headEnd/>
                      <a:tailEnd/>
                    </a:ln>
                  </pic:spPr>
                </pic:pic>
              </a:graphicData>
            </a:graphic>
          </wp:inline>
        </w:drawing>
      </w:r>
    </w:p>
    <w:p w:rsidR="00A80714" w:rsidRPr="008D2996" w:rsidRDefault="00A80714" w:rsidP="0060275F">
      <w:pPr>
        <w:pStyle w:val="Titre1"/>
      </w:pPr>
      <w:bookmarkStart w:id="271" w:name="_Toc326156000"/>
      <w:bookmarkStart w:id="272" w:name="_Toc327883436"/>
      <w:bookmarkStart w:id="273" w:name="_Toc327916536"/>
      <w:r w:rsidRPr="00E74A46">
        <w:lastRenderedPageBreak/>
        <w:t>synthèse</w:t>
      </w:r>
      <w:bookmarkEnd w:id="271"/>
      <w:bookmarkEnd w:id="272"/>
      <w:bookmarkEnd w:id="273"/>
    </w:p>
    <w:p w:rsidR="00A80714" w:rsidRPr="008D2996" w:rsidRDefault="00A80714" w:rsidP="00A80714">
      <w:r w:rsidRPr="00E74A46">
        <w:t xml:space="preserve">La portion du revenu consacré à l’assurance (ou propension de chaque agent à s’assurer) a été retenue comme mesure du taux de pénétration par agent. Nous avons évalué ce taux pour les ménages, les entreprises non-agricoles et l’agriculture.  </w:t>
      </w:r>
    </w:p>
    <w:p w:rsidR="00A80714" w:rsidRPr="008D2996" w:rsidRDefault="00A80714" w:rsidP="00A80714">
      <w:r w:rsidRPr="00E74A46">
        <w:t>Pour chacun de ces agents, nous avons réalisé des estimations de dépenses en assurance au plus près des comportements observés.</w:t>
      </w:r>
    </w:p>
    <w:p w:rsidR="00A80714" w:rsidRPr="002A51B0" w:rsidRDefault="00A80714" w:rsidP="00A80714">
      <w:pPr>
        <w:pStyle w:val="Corpsdetexte2"/>
        <w:rPr>
          <w:rFonts w:ascii="Trebuchet MS" w:hAnsi="Trebuchet MS"/>
          <w:sz w:val="22"/>
          <w:szCs w:val="22"/>
        </w:rPr>
      </w:pPr>
      <w:r w:rsidRPr="00E74A46">
        <w:rPr>
          <w:rFonts w:ascii="Trebuchet MS" w:hAnsi="Trebuchet MS"/>
          <w:sz w:val="22"/>
          <w:szCs w:val="22"/>
        </w:rPr>
        <w:t xml:space="preserve">Les agents économiques procèdent dans leurs différentes activités aux versements de primes ou de cotisations volontairement consenties. </w:t>
      </w:r>
      <w:r w:rsidRPr="002A51B0">
        <w:rPr>
          <w:rFonts w:ascii="Trebuchet MS" w:hAnsi="Trebuchet MS"/>
          <w:sz w:val="22"/>
          <w:szCs w:val="22"/>
        </w:rPr>
        <w:t xml:space="preserve">Celles-ci constituent donc une ressource pour les </w:t>
      </w:r>
      <w:r w:rsidR="006F427D" w:rsidRPr="002A51B0">
        <w:rPr>
          <w:rFonts w:ascii="Trebuchet MS" w:hAnsi="Trebuchet MS"/>
          <w:sz w:val="22"/>
          <w:szCs w:val="22"/>
        </w:rPr>
        <w:t xml:space="preserve">sociétés </w:t>
      </w:r>
      <w:r w:rsidRPr="002A51B0">
        <w:rPr>
          <w:rFonts w:ascii="Trebuchet MS" w:hAnsi="Trebuchet MS"/>
          <w:sz w:val="22"/>
          <w:szCs w:val="22"/>
        </w:rPr>
        <w:t>d’assurances qui ont pour fonction de garantir le paiement d’indemnités en cas de réalisation d’un risque. La pénétration de l’assurance est donc perçue comme l’ensemble des secteurs institutionnels dont les emplois finaux portent en partie sur l’activité d’assurance. Les données présentées donc jusque là auraient gagné en précision si l’établissement à un niveau macro-comptable de comptes dits intermédiaires d’entreprises avait été disponible ; ceci aurait davantage affiné les données propres aux assurances de ménages, d’entreprises non agricoles et de l’agriculture.</w:t>
      </w:r>
    </w:p>
    <w:p w:rsidR="00A80714" w:rsidRPr="008D2996" w:rsidRDefault="00A80714" w:rsidP="00A80714">
      <w:pPr>
        <w:pStyle w:val="Corpsdetexte2"/>
        <w:rPr>
          <w:rFonts w:ascii="Trebuchet MS" w:hAnsi="Trebuchet MS"/>
          <w:sz w:val="22"/>
          <w:szCs w:val="22"/>
        </w:rPr>
      </w:pPr>
      <w:r w:rsidRPr="002A51B0">
        <w:rPr>
          <w:rFonts w:ascii="Trebuchet MS" w:hAnsi="Trebuchet MS"/>
          <w:sz w:val="22"/>
          <w:szCs w:val="22"/>
        </w:rPr>
        <w:t>Ceci étant dit, les estimations ne comptent pas de grands biais statistiques et répondent à la nécessité de cohérence comptable.</w:t>
      </w:r>
    </w:p>
    <w:p w:rsidR="00A80714" w:rsidRPr="008D2996" w:rsidRDefault="00A80714" w:rsidP="00A80714">
      <w:r w:rsidRPr="00E74A46">
        <w:t>Concernant les agrégats de revenu, notons que :</w:t>
      </w:r>
    </w:p>
    <w:p w:rsidR="00A80714" w:rsidRPr="008D2996" w:rsidRDefault="00A80714" w:rsidP="00A80714">
      <w:pPr>
        <w:numPr>
          <w:ilvl w:val="0"/>
          <w:numId w:val="14"/>
        </w:numPr>
      </w:pPr>
      <w:r w:rsidRPr="00E74A46">
        <w:t>La « valeur ajoutée de l’agriculture » et le « PIB hors agriculture » sont des agrégats complémentaires constitutifs du PIB (optique formation du PIB). Malgré de petits biais, nous pouvons comparer, sans trop de risques, les taux de pénétration</w:t>
      </w:r>
      <w:r w:rsidR="006F427D">
        <w:t> ;</w:t>
      </w:r>
    </w:p>
    <w:p w:rsidR="00A80714" w:rsidRPr="008D2996" w:rsidRDefault="00A80714" w:rsidP="00A80714">
      <w:pPr>
        <w:numPr>
          <w:ilvl w:val="0"/>
          <w:numId w:val="14"/>
        </w:numPr>
      </w:pPr>
      <w:r w:rsidRPr="00E74A46">
        <w:t xml:space="preserve">L’agrégat « Revenu Brut des Ménages » relève d’une optique différente de redistribution du Revenu National. Au sein du circuit économique, cette seconde optique est indissociable et complémentaire, de la première. </w:t>
      </w:r>
    </w:p>
    <w:p w:rsidR="00A80714" w:rsidRPr="008D2996" w:rsidRDefault="00A80714" w:rsidP="00A80714">
      <w:r w:rsidRPr="00E74A46">
        <w:t>Concernant le taux de pénétration global, il importe de signaler que celui-ci se reconstitue en rapportant la somme des primes payées par tous les agents à la somme des valeurs ajoutées des agents SQS auxquelles il faut adjoindre les droits et taxes sur importations, les revenus des ménages étant déjà inclus dans la valeur ajoutée des SQS.</w:t>
      </w:r>
    </w:p>
    <w:p w:rsidR="00A80714" w:rsidRPr="008D2996" w:rsidRDefault="00A80714" w:rsidP="00A80714">
      <w:r w:rsidRPr="00E74A46">
        <w:t>Les taux de pénétration sont présentés au tableau n° 10.22 pour comparaison.</w:t>
      </w:r>
    </w:p>
    <w:p w:rsidR="00A80714" w:rsidRPr="008D2996" w:rsidRDefault="00A80714" w:rsidP="00A80714">
      <w:r w:rsidRPr="00E74A46">
        <w:t xml:space="preserve">Par marché, les taux de pénétration sont les suivants : </w:t>
      </w:r>
    </w:p>
    <w:p w:rsidR="00A80714" w:rsidRPr="008D2996" w:rsidRDefault="00A80714" w:rsidP="00A80714">
      <w:pPr>
        <w:numPr>
          <w:ilvl w:val="0"/>
          <w:numId w:val="14"/>
        </w:numPr>
      </w:pPr>
      <w:r w:rsidRPr="00E74A46">
        <w:t>0,</w:t>
      </w:r>
      <w:r w:rsidR="006F427D">
        <w:t>80</w:t>
      </w:r>
      <w:r w:rsidRPr="00E74A46">
        <w:t>% pour les ménages et entreprises individuelles ;</w:t>
      </w:r>
    </w:p>
    <w:p w:rsidR="00A80714" w:rsidRPr="008D2996" w:rsidRDefault="00A80714" w:rsidP="00A80714">
      <w:pPr>
        <w:numPr>
          <w:ilvl w:val="0"/>
          <w:numId w:val="14"/>
        </w:numPr>
      </w:pPr>
      <w:r w:rsidRPr="00E74A46">
        <w:t>0,12% pour le secteur agricole ;</w:t>
      </w:r>
    </w:p>
    <w:p w:rsidR="00A80714" w:rsidRPr="008D2996" w:rsidRDefault="00A80714" w:rsidP="00A80714">
      <w:pPr>
        <w:numPr>
          <w:ilvl w:val="0"/>
          <w:numId w:val="14"/>
        </w:numPr>
      </w:pPr>
      <w:r w:rsidRPr="00E74A46">
        <w:t xml:space="preserve">0,37% pour les entreprises non agricoles. </w:t>
      </w:r>
    </w:p>
    <w:p w:rsidR="009724C9" w:rsidRDefault="009724C9"/>
    <w:p w:rsidR="0086694F" w:rsidRPr="008D2996" w:rsidRDefault="0086694F" w:rsidP="0086694F">
      <w:pPr>
        <w:rPr>
          <w:highlight w:val="yellow"/>
        </w:rPr>
      </w:pPr>
    </w:p>
    <w:p w:rsidR="0086694F" w:rsidRPr="008D2996" w:rsidRDefault="0086694F" w:rsidP="0086694F">
      <w:pPr>
        <w:rPr>
          <w:highlight w:val="yellow"/>
        </w:rPr>
        <w:sectPr w:rsidR="0086694F" w:rsidRPr="008D2996" w:rsidSect="0086694F">
          <w:footnotePr>
            <w:numRestart w:val="eachPage"/>
          </w:footnotePr>
          <w:pgSz w:w="11906" w:h="16838" w:code="9"/>
          <w:pgMar w:top="1871" w:right="1134" w:bottom="1304" w:left="1134" w:header="709" w:footer="709" w:gutter="0"/>
          <w:cols w:space="708"/>
          <w:docGrid w:linePitch="360"/>
        </w:sectPr>
      </w:pPr>
    </w:p>
    <w:p w:rsidR="0086694F" w:rsidRPr="008D2996" w:rsidRDefault="003A6049" w:rsidP="0086694F">
      <w:pPr>
        <w:rPr>
          <w:highlight w:val="yellow"/>
        </w:rPr>
      </w:pPr>
      <w:r>
        <w:rPr>
          <w:noProof/>
        </w:rPr>
        <w:lastRenderedPageBreak/>
        <w:drawing>
          <wp:inline distT="0" distB="0" distL="0" distR="0">
            <wp:extent cx="6486459" cy="5011387"/>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6491580" cy="5015343"/>
                    </a:xfrm>
                    <a:prstGeom prst="rect">
                      <a:avLst/>
                    </a:prstGeom>
                    <a:noFill/>
                    <a:ln w="9525">
                      <a:noFill/>
                      <a:miter lim="800000"/>
                      <a:headEnd/>
                      <a:tailEnd/>
                    </a:ln>
                  </pic:spPr>
                </pic:pic>
              </a:graphicData>
            </a:graphic>
          </wp:inline>
        </w:drawing>
      </w:r>
    </w:p>
    <w:p w:rsidR="0086694F" w:rsidRPr="008D2996" w:rsidRDefault="0086694F" w:rsidP="0086694F">
      <w:pPr>
        <w:jc w:val="center"/>
        <w:rPr>
          <w:highlight w:val="yellow"/>
        </w:rPr>
      </w:pPr>
    </w:p>
    <w:p w:rsidR="0086694F" w:rsidRPr="008D2996" w:rsidRDefault="0086694F" w:rsidP="00D3432D">
      <w:pPr>
        <w:pStyle w:val="Titre"/>
        <w:rPr>
          <w:highlight w:val="yellow"/>
        </w:rPr>
      </w:pPr>
      <w:bookmarkStart w:id="274" w:name="_Toc177110658"/>
      <w:bookmarkStart w:id="275" w:name="_Toc177110659"/>
      <w:bookmarkStart w:id="276" w:name="_Toc177110660"/>
      <w:bookmarkStart w:id="277" w:name="_Toc177110661"/>
      <w:bookmarkStart w:id="278" w:name="_Toc177110662"/>
      <w:bookmarkStart w:id="279" w:name="_Toc177110663"/>
      <w:bookmarkStart w:id="280" w:name="_Toc177110664"/>
      <w:bookmarkStart w:id="281" w:name="_Toc71847723"/>
      <w:bookmarkStart w:id="282" w:name="_Toc71851573"/>
      <w:bookmarkStart w:id="283" w:name="_Toc71851690"/>
      <w:bookmarkStart w:id="284" w:name="_Toc496256668"/>
      <w:bookmarkStart w:id="285" w:name="_Toc496869951"/>
      <w:bookmarkStart w:id="286" w:name="_Toc2590640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86694F" w:rsidRPr="008D2996" w:rsidRDefault="0086694F" w:rsidP="00D3432D">
      <w:pPr>
        <w:pStyle w:val="Titre"/>
        <w:rPr>
          <w:highlight w:val="yellow"/>
        </w:rPr>
      </w:pPr>
    </w:p>
    <w:p w:rsidR="00204B1B" w:rsidRPr="008D2996" w:rsidRDefault="00204B1B" w:rsidP="00D3432D">
      <w:pPr>
        <w:pStyle w:val="Titre"/>
        <w:rPr>
          <w:highlight w:val="yellow"/>
        </w:rPr>
        <w:sectPr w:rsidR="00204B1B" w:rsidRPr="008D2996" w:rsidSect="00BF5C21">
          <w:footnotePr>
            <w:numRestart w:val="eachPage"/>
          </w:footnotePr>
          <w:pgSz w:w="11906" w:h="16838" w:code="9"/>
          <w:pgMar w:top="1304" w:right="1134" w:bottom="1871" w:left="1134" w:header="709" w:footer="709" w:gutter="0"/>
          <w:cols w:space="708"/>
          <w:vAlign w:val="center"/>
          <w:docGrid w:linePitch="360"/>
        </w:sectPr>
      </w:pPr>
    </w:p>
    <w:p w:rsidR="0086694F" w:rsidRPr="008D2996" w:rsidRDefault="0086694F" w:rsidP="00D3432D">
      <w:pPr>
        <w:pStyle w:val="Titre"/>
        <w:rPr>
          <w:highlight w:val="yellow"/>
        </w:rPr>
      </w:pPr>
    </w:p>
    <w:p w:rsidR="00BF5C21" w:rsidRDefault="00BF5C21" w:rsidP="00D3432D">
      <w:pPr>
        <w:pStyle w:val="Titre"/>
        <w:rPr>
          <w:sz w:val="36"/>
        </w:rPr>
      </w:pPr>
      <w:bookmarkStart w:id="287" w:name="_Toc326156001"/>
    </w:p>
    <w:p w:rsidR="00BF5C21" w:rsidRDefault="00BF5C21" w:rsidP="00D3432D">
      <w:pPr>
        <w:pStyle w:val="Titre"/>
        <w:rPr>
          <w:sz w:val="36"/>
        </w:rPr>
      </w:pPr>
    </w:p>
    <w:p w:rsidR="00BF5C21" w:rsidRDefault="00BF5C21" w:rsidP="00D3432D">
      <w:pPr>
        <w:pStyle w:val="Titre"/>
        <w:rPr>
          <w:sz w:val="36"/>
        </w:rPr>
      </w:pPr>
    </w:p>
    <w:p w:rsidR="00BF5C21" w:rsidRDefault="00BF5C21" w:rsidP="00D3432D">
      <w:pPr>
        <w:pStyle w:val="Titre"/>
        <w:rPr>
          <w:sz w:val="36"/>
        </w:rPr>
      </w:pPr>
    </w:p>
    <w:p w:rsidR="00BF5C21" w:rsidRDefault="00BF5C21" w:rsidP="00D3432D">
      <w:pPr>
        <w:pStyle w:val="Titre"/>
        <w:rPr>
          <w:sz w:val="36"/>
        </w:rPr>
      </w:pPr>
    </w:p>
    <w:p w:rsidR="00BF5C21" w:rsidRDefault="00BF5C21" w:rsidP="00D3432D">
      <w:pPr>
        <w:pStyle w:val="Titre"/>
        <w:rPr>
          <w:sz w:val="36"/>
        </w:rPr>
      </w:pPr>
    </w:p>
    <w:p w:rsidR="00D3432D" w:rsidRPr="00BF5C21" w:rsidRDefault="005D6003" w:rsidP="00FB7010">
      <w:pPr>
        <w:pStyle w:val="Titre"/>
        <w:outlineLvl w:val="0"/>
        <w:rPr>
          <w:sz w:val="36"/>
        </w:rPr>
      </w:pPr>
      <w:bookmarkStart w:id="288" w:name="_Toc327916537"/>
      <w:r>
        <w:rPr>
          <w:sz w:val="36"/>
        </w:rPr>
        <w:t>5</w:t>
      </w:r>
      <w:r w:rsidR="00E45768" w:rsidRPr="00E45768">
        <w:rPr>
          <w:sz w:val="36"/>
        </w:rPr>
        <w:t xml:space="preserve">° </w:t>
      </w:r>
      <w:r w:rsidR="00E45768" w:rsidRPr="00E45768">
        <w:rPr>
          <w:noProof/>
          <w:sz w:val="36"/>
        </w:rPr>
        <w:t>Chapitre </w:t>
      </w:r>
      <w:r w:rsidR="00E45768" w:rsidRPr="00E45768">
        <w:rPr>
          <w:sz w:val="36"/>
        </w:rPr>
        <w:t>: Analyse du service D’ASSURANCE en 2010</w:t>
      </w:r>
      <w:bookmarkEnd w:id="287"/>
      <w:bookmarkEnd w:id="288"/>
    </w:p>
    <w:p w:rsidR="00E4091E" w:rsidRPr="008D2996" w:rsidRDefault="00E4091E" w:rsidP="009521FF">
      <w:pPr>
        <w:pStyle w:val="TM2"/>
      </w:pPr>
    </w:p>
    <w:p w:rsidR="00BF5C21" w:rsidRDefault="00BF5C21" w:rsidP="002D775E">
      <w:pPr>
        <w:pStyle w:val="Titre1"/>
      </w:pPr>
      <w:bookmarkStart w:id="289" w:name="_Toc326156002"/>
      <w:bookmarkStart w:id="290" w:name="_Toc71851574"/>
      <w:bookmarkStart w:id="291" w:name="_Toc71851691"/>
      <w:bookmarkStart w:id="292" w:name="_Toc73258889"/>
      <w:bookmarkStart w:id="293" w:name="_Toc74152896"/>
      <w:bookmarkStart w:id="294" w:name="_Toc74180114"/>
      <w:bookmarkStart w:id="295" w:name="_Toc74181212"/>
      <w:bookmarkStart w:id="296" w:name="_Toc74181775"/>
      <w:bookmarkStart w:id="297" w:name="_Toc74182608"/>
      <w:bookmarkStart w:id="298" w:name="_Toc74183317"/>
      <w:bookmarkStart w:id="299" w:name="_Toc74183881"/>
      <w:bookmarkStart w:id="300" w:name="_Toc74188813"/>
      <w:bookmarkStart w:id="301" w:name="_Toc74188917"/>
      <w:bookmarkStart w:id="302" w:name="_Toc74189021"/>
      <w:bookmarkStart w:id="303" w:name="_Toc74189201"/>
      <w:bookmarkStart w:id="304" w:name="_Toc74189320"/>
      <w:bookmarkStart w:id="305" w:name="_Toc74189517"/>
      <w:bookmarkStart w:id="306" w:name="_Toc177110666"/>
      <w:bookmarkEnd w:id="274"/>
      <w:bookmarkEnd w:id="275"/>
      <w:bookmarkEnd w:id="276"/>
      <w:bookmarkEnd w:id="277"/>
      <w:bookmarkEnd w:id="278"/>
      <w:bookmarkEnd w:id="279"/>
      <w:bookmarkEnd w:id="280"/>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BF5C21" w:rsidRDefault="00BF5C21" w:rsidP="002D775E">
      <w:pPr>
        <w:pStyle w:val="Titre1"/>
      </w:pPr>
    </w:p>
    <w:p w:rsidR="003A6049" w:rsidRDefault="003A6049"/>
    <w:p w:rsidR="003A6049" w:rsidRDefault="003A6049">
      <w:pPr>
        <w:spacing w:after="0" w:line="240" w:lineRule="auto"/>
        <w:jc w:val="left"/>
      </w:pPr>
    </w:p>
    <w:p w:rsidR="003A6049" w:rsidRDefault="003A6049">
      <w:pPr>
        <w:spacing w:after="0" w:line="240" w:lineRule="auto"/>
        <w:jc w:val="left"/>
      </w:pPr>
    </w:p>
    <w:p w:rsidR="003A6049" w:rsidRDefault="003A6049">
      <w:pPr>
        <w:spacing w:after="0" w:line="240" w:lineRule="auto"/>
        <w:jc w:val="left"/>
      </w:pPr>
    </w:p>
    <w:p w:rsidR="003A6049" w:rsidRDefault="003A6049">
      <w:pPr>
        <w:spacing w:after="0" w:line="240" w:lineRule="auto"/>
        <w:jc w:val="left"/>
      </w:pPr>
    </w:p>
    <w:p w:rsidR="006003CD" w:rsidRPr="005C5492" w:rsidRDefault="00537612">
      <w:pPr>
        <w:pStyle w:val="Titre1"/>
      </w:pPr>
      <w:bookmarkStart w:id="307" w:name="_Toc327916538"/>
      <w:r w:rsidRPr="005C5492">
        <w:t xml:space="preserve">SINISTRES </w:t>
      </w:r>
      <w:bookmarkEnd w:id="289"/>
      <w:r w:rsidR="00BF5C21" w:rsidRPr="005C5492">
        <w:t>ET INDEMNISATIONS</w:t>
      </w:r>
      <w:bookmarkEnd w:id="307"/>
    </w:p>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rsidR="00A80714" w:rsidRPr="008D2996" w:rsidRDefault="00A80714" w:rsidP="00A80714">
      <w:r w:rsidRPr="00E74A46">
        <w:t>La valeur totale des indemnisations que les assureurs doivent aux assurés, est constituée de la somme des sinistres réglés et des sinistres qui restent à régler à la fin de l’exercice.</w:t>
      </w:r>
    </w:p>
    <w:p w:rsidR="00A80714" w:rsidRPr="008D2996" w:rsidRDefault="00A80714" w:rsidP="00A80714">
      <w:pPr>
        <w:pStyle w:val="Titre2"/>
      </w:pPr>
      <w:bookmarkStart w:id="308" w:name="_Toc177110667"/>
      <w:bookmarkStart w:id="309" w:name="_Toc326156003"/>
      <w:bookmarkStart w:id="310" w:name="_Toc327883437"/>
      <w:bookmarkStart w:id="311" w:name="_Toc327883617"/>
      <w:bookmarkStart w:id="312" w:name="_Toc327883962"/>
      <w:bookmarkStart w:id="313" w:name="_Toc327885027"/>
      <w:bookmarkStart w:id="314" w:name="_Toc327885612"/>
      <w:bookmarkStart w:id="315" w:name="_Toc327916539"/>
      <w:r w:rsidRPr="00E74A46">
        <w:t>Sinistres réglés et à régler</w:t>
      </w:r>
      <w:bookmarkEnd w:id="308"/>
      <w:bookmarkEnd w:id="309"/>
      <w:bookmarkEnd w:id="310"/>
      <w:bookmarkEnd w:id="311"/>
      <w:bookmarkEnd w:id="312"/>
      <w:bookmarkEnd w:id="313"/>
      <w:bookmarkEnd w:id="314"/>
      <w:bookmarkEnd w:id="315"/>
    </w:p>
    <w:p w:rsidR="00A80714" w:rsidRPr="008D2996" w:rsidRDefault="00A80714" w:rsidP="00A80714">
      <w:r w:rsidRPr="00E74A46">
        <w:rPr>
          <w:b/>
        </w:rPr>
        <w:t>SINISTRES REGLES</w:t>
      </w:r>
    </w:p>
    <w:p w:rsidR="00A80714" w:rsidRPr="008D2996" w:rsidRDefault="00A80714" w:rsidP="00A80714">
      <w:r>
        <w:t xml:space="preserve">Le </w:t>
      </w:r>
      <w:r w:rsidRPr="00E74A46">
        <w:t>montant de 35,</w:t>
      </w:r>
      <w:r w:rsidR="00D14734">
        <w:t>8</w:t>
      </w:r>
      <w:r w:rsidR="00B96712" w:rsidRPr="00E74A46">
        <w:t xml:space="preserve"> </w:t>
      </w:r>
      <w:r w:rsidR="009135A6">
        <w:t>milliard</w:t>
      </w:r>
      <w:r w:rsidRPr="00E74A46">
        <w:t xml:space="preserve"> de dinars</w:t>
      </w:r>
      <w:r w:rsidR="00B96712">
        <w:t xml:space="preserve"> </w:t>
      </w:r>
      <w:r w:rsidRPr="00E74A46">
        <w:t xml:space="preserve">consacré en 2010 par les différentes entreprises d’assurance à la réparation des dommages matériels et corporels, </w:t>
      </w:r>
      <w:r>
        <w:t xml:space="preserve">est </w:t>
      </w:r>
      <w:r w:rsidRPr="00E74A46">
        <w:t>en décroissance de 1</w:t>
      </w:r>
      <w:r w:rsidR="00084C11">
        <w:t>,</w:t>
      </w:r>
      <w:r w:rsidR="00D14734">
        <w:t>4</w:t>
      </w:r>
      <w:r w:rsidRPr="00E74A46">
        <w:t xml:space="preserve">% par rapport à 2009 </w:t>
      </w:r>
      <w:r w:rsidRPr="00E74A46">
        <w:rPr>
          <w:color w:val="3333FF"/>
          <w:sz w:val="20"/>
        </w:rPr>
        <w:t>(tabl</w:t>
      </w:r>
      <w:r w:rsidR="00710BDF">
        <w:rPr>
          <w:color w:val="3333FF"/>
          <w:sz w:val="20"/>
        </w:rPr>
        <w:t>eau</w:t>
      </w:r>
      <w:r w:rsidRPr="00E74A46">
        <w:rPr>
          <w:color w:val="3333FF"/>
          <w:sz w:val="20"/>
        </w:rPr>
        <w:t xml:space="preserve"> n°10.23)</w:t>
      </w:r>
      <w:r w:rsidRPr="00E74A46">
        <w:t xml:space="preserve">. Certaines sociétés ont cependant enregistré des taux </w:t>
      </w:r>
      <w:r>
        <w:t>d’évolution</w:t>
      </w:r>
      <w:r w:rsidRPr="00E74A46">
        <w:t xml:space="preserve"> encourageants supérieurs à la moyenne </w:t>
      </w:r>
      <w:r w:rsidR="00084C11">
        <w:t xml:space="preserve">de l’évolution du </w:t>
      </w:r>
      <w:r w:rsidRPr="00E74A46">
        <w:t xml:space="preserve"> marché qui est de </w:t>
      </w:r>
      <w:r w:rsidR="00D14734">
        <w:t>-</w:t>
      </w:r>
      <w:r w:rsidRPr="00E74A46">
        <w:t>2</w:t>
      </w:r>
      <w:r w:rsidR="00D14734">
        <w:t>,5</w:t>
      </w:r>
      <w:r w:rsidRPr="00E74A46">
        <w:t>%.</w:t>
      </w:r>
    </w:p>
    <w:p w:rsidR="009173EC" w:rsidRPr="008D2996" w:rsidRDefault="00A80714" w:rsidP="002D775E">
      <w:r w:rsidRPr="00E74A46">
        <w:t xml:space="preserve">Par entreprise, l’évolution </w:t>
      </w:r>
      <w:r w:rsidR="00084C11">
        <w:t>est</w:t>
      </w:r>
      <w:r w:rsidRPr="00E74A46">
        <w:t xml:space="preserve"> positive pour les sociétés ALLIANCE (+4</w:t>
      </w:r>
      <w:r w:rsidR="00D14734">
        <w:t>8,8</w:t>
      </w:r>
      <w:r w:rsidRPr="00E74A46">
        <w:t>%),</w:t>
      </w:r>
      <w:r w:rsidR="005316BD">
        <w:t xml:space="preserve"> CASH (+13,1%)</w:t>
      </w:r>
      <w:r w:rsidRPr="00E74A46">
        <w:t xml:space="preserve"> CARDIF (+9</w:t>
      </w:r>
      <w:r w:rsidR="00D14734">
        <w:t>,</w:t>
      </w:r>
      <w:r w:rsidR="009173EC">
        <w:t>2</w:t>
      </w:r>
      <w:r w:rsidRPr="00E74A46">
        <w:t>%), CNMA (+</w:t>
      </w:r>
      <w:r w:rsidR="00D14734">
        <w:t>7,7</w:t>
      </w:r>
      <w:r w:rsidRPr="00E74A46">
        <w:t>%), CIAR (</w:t>
      </w:r>
      <w:r w:rsidR="00D14734">
        <w:t>6,9</w:t>
      </w:r>
      <w:r w:rsidRPr="00E74A46">
        <w:t>%)  et SALAMA (+</w:t>
      </w:r>
      <w:r w:rsidR="00D14734">
        <w:t>1,7</w:t>
      </w:r>
      <w:r w:rsidRPr="00E74A46">
        <w:t>%). Les  sociétés ayant les parts les plus importantes dans le volume global des indemnisations</w:t>
      </w:r>
      <w:r w:rsidR="004F10A9">
        <w:t xml:space="preserve"> sont :</w:t>
      </w:r>
      <w:r w:rsidRPr="00E74A46">
        <w:t xml:space="preserve"> la SAA (2</w:t>
      </w:r>
      <w:r w:rsidR="00D14734">
        <w:t>8,3</w:t>
      </w:r>
      <w:r w:rsidRPr="00E74A46">
        <w:t xml:space="preserve">%), la </w:t>
      </w:r>
      <w:r w:rsidR="00752D71" w:rsidRPr="00E74A46">
        <w:t>CAAT (1</w:t>
      </w:r>
      <w:r w:rsidR="00752D71">
        <w:t>8,2</w:t>
      </w:r>
      <w:r w:rsidR="00752D71" w:rsidRPr="00E74A46">
        <w:t>%)</w:t>
      </w:r>
      <w:r w:rsidR="00752D71">
        <w:t xml:space="preserve"> </w:t>
      </w:r>
      <w:r w:rsidRPr="00E74A46">
        <w:t xml:space="preserve">et la </w:t>
      </w:r>
      <w:r w:rsidR="00752D71" w:rsidRPr="00E74A46">
        <w:t>CAAR (1</w:t>
      </w:r>
      <w:r w:rsidR="00752D71">
        <w:t>6,4</w:t>
      </w:r>
      <w:r w:rsidR="00752D71" w:rsidRPr="00E74A46">
        <w:t>%)</w:t>
      </w:r>
      <w:r w:rsidRPr="00E74A46">
        <w:t xml:space="preserve"> </w:t>
      </w:r>
      <w:r w:rsidR="00D63D00" w:rsidRPr="00E74A46">
        <w:t>enregistr</w:t>
      </w:r>
      <w:r w:rsidR="00D63D00">
        <w:t>ent</w:t>
      </w:r>
      <w:r w:rsidRPr="00E74A46">
        <w:t xml:space="preserve"> des baisses de l’ordre respectif de </w:t>
      </w:r>
      <w:r w:rsidR="00D63D00">
        <w:t>3</w:t>
      </w:r>
      <w:r w:rsidR="00752D71">
        <w:t>,3</w:t>
      </w:r>
      <w:r w:rsidRPr="00E74A46">
        <w:t xml:space="preserve">%, </w:t>
      </w:r>
      <w:r w:rsidR="00752D71">
        <w:t>1,0</w:t>
      </w:r>
      <w:r w:rsidRPr="00E74A46">
        <w:t xml:space="preserve">% et </w:t>
      </w:r>
      <w:r w:rsidR="00752D71">
        <w:t>1</w:t>
      </w:r>
      <w:r w:rsidRPr="00E74A46">
        <w:t>1</w:t>
      </w:r>
      <w:r w:rsidR="00752D71">
        <w:t>,0</w:t>
      </w:r>
      <w:r w:rsidRPr="00E74A46">
        <w:t xml:space="preserve">%. </w:t>
      </w:r>
    </w:p>
    <w:p w:rsidR="006531EF" w:rsidRDefault="003A6049" w:rsidP="002D775E">
      <w:r>
        <w:rPr>
          <w:noProof/>
        </w:rPr>
        <w:drawing>
          <wp:inline distT="0" distB="0" distL="0" distR="0">
            <wp:extent cx="5759450" cy="3130550"/>
            <wp:effectExtent l="19050" t="0" r="0" b="0"/>
            <wp:docPr id="4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760720" cy="3131241"/>
                    </a:xfrm>
                    <a:prstGeom prst="rect">
                      <a:avLst/>
                    </a:prstGeom>
                    <a:noFill/>
                    <a:ln w="9525">
                      <a:noFill/>
                      <a:miter lim="800000"/>
                      <a:headEnd/>
                      <a:tailEnd/>
                    </a:ln>
                  </pic:spPr>
                </pic:pic>
              </a:graphicData>
            </a:graphic>
          </wp:inline>
        </w:drawing>
      </w:r>
    </w:p>
    <w:p w:rsidR="005C5492" w:rsidRDefault="005C5492" w:rsidP="002D775E"/>
    <w:p w:rsidR="002D775E" w:rsidRPr="005C5492" w:rsidRDefault="000C26A4" w:rsidP="002D775E">
      <w:pPr>
        <w:rPr>
          <w:b/>
        </w:rPr>
      </w:pPr>
      <w:r w:rsidRPr="005C5492">
        <w:rPr>
          <w:b/>
        </w:rPr>
        <w:t xml:space="preserve">Structure des sinistres réglés </w:t>
      </w:r>
    </w:p>
    <w:p w:rsidR="002D775E" w:rsidRPr="008D2996" w:rsidRDefault="00E74A46" w:rsidP="002D775E">
      <w:pPr>
        <w:rPr>
          <w:color w:val="0000FF"/>
          <w:sz w:val="20"/>
        </w:rPr>
      </w:pPr>
      <w:r w:rsidRPr="00E74A46">
        <w:t>La structure des sinistres réglés est nettement différente de la structure de la production. En effet, la branche « automobile » pèse 74,</w:t>
      </w:r>
      <w:r w:rsidR="004E4044">
        <w:t>7</w:t>
      </w:r>
      <w:r w:rsidRPr="00E74A46">
        <w:t>% (74,1% en 2009) du montant global des sinistres réglés par le secteur, soit près de 26,</w:t>
      </w:r>
      <w:r w:rsidR="00752D71">
        <w:t>4</w:t>
      </w:r>
      <w:r w:rsidRPr="00E74A46">
        <w:t xml:space="preserve"> </w:t>
      </w:r>
      <w:r w:rsidR="009135A6">
        <w:t>milliard</w:t>
      </w:r>
      <w:r w:rsidRPr="00E74A46">
        <w:t xml:space="preserve"> de dinars, alors que la branche « IRD » représente </w:t>
      </w:r>
      <w:r w:rsidR="004E4044" w:rsidRPr="00E74A46">
        <w:t>1</w:t>
      </w:r>
      <w:r w:rsidR="004E4044">
        <w:t>1,9</w:t>
      </w:r>
      <w:r w:rsidRPr="00E74A46">
        <w:t xml:space="preserve">% (15,3% en 2009) des sinistres réglés avec un volume total de 4,2 </w:t>
      </w:r>
      <w:r w:rsidR="009135A6">
        <w:t>milliard</w:t>
      </w:r>
      <w:r w:rsidRPr="00E74A46">
        <w:t xml:space="preserve"> de dinars. Les parts des branches« transports » et « assurances de personnes » </w:t>
      </w:r>
      <w:r w:rsidR="004E4044">
        <w:t>sont</w:t>
      </w:r>
      <w:r w:rsidRPr="00E74A46">
        <w:t xml:space="preserve"> respectivement </w:t>
      </w:r>
      <w:r w:rsidR="004E4044">
        <w:t>6,9</w:t>
      </w:r>
      <w:r w:rsidRPr="00E74A46">
        <w:t xml:space="preserve">% et 4,5%.  Quant aux « risques agricoles », et  « crédit », elles réalisent des parts </w:t>
      </w:r>
      <w:r w:rsidR="004E4044">
        <w:t>de 1,2% et 0,9%</w:t>
      </w:r>
      <w:r w:rsidRPr="00E74A46">
        <w:rPr>
          <w:color w:val="0000FF"/>
          <w:sz w:val="20"/>
        </w:rPr>
        <w:t>.</w:t>
      </w:r>
    </w:p>
    <w:p w:rsidR="002D775E" w:rsidRPr="008D2996" w:rsidRDefault="0015285A" w:rsidP="002D775E">
      <w:r w:rsidRPr="0015285A">
        <w:rPr>
          <w:noProof/>
        </w:rPr>
        <w:lastRenderedPageBreak/>
        <w:drawing>
          <wp:inline distT="0" distB="0" distL="0" distR="0">
            <wp:extent cx="6318563" cy="1852551"/>
            <wp:effectExtent l="19050" t="0" r="6037" b="0"/>
            <wp:docPr id="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6316312" cy="1851891"/>
                    </a:xfrm>
                    <a:prstGeom prst="rect">
                      <a:avLst/>
                    </a:prstGeom>
                    <a:noFill/>
                    <a:ln w="9525">
                      <a:noFill/>
                      <a:miter lim="800000"/>
                      <a:headEnd/>
                      <a:tailEnd/>
                    </a:ln>
                  </pic:spPr>
                </pic:pic>
              </a:graphicData>
            </a:graphic>
          </wp:inline>
        </w:drawing>
      </w:r>
    </w:p>
    <w:p w:rsidR="002D775E" w:rsidRPr="008D2996" w:rsidRDefault="00E74A46" w:rsidP="002D775E">
      <w:pPr>
        <w:tabs>
          <w:tab w:val="left" w:pos="3720"/>
        </w:tabs>
      </w:pPr>
      <w:r w:rsidRPr="00E74A46">
        <w:tab/>
      </w:r>
    </w:p>
    <w:p w:rsidR="002D775E" w:rsidRPr="008D2996" w:rsidRDefault="00E74A46" w:rsidP="002D775E">
      <w:pPr>
        <w:rPr>
          <w:b/>
          <w:bCs/>
        </w:rPr>
      </w:pPr>
      <w:r w:rsidRPr="00E74A46">
        <w:rPr>
          <w:b/>
          <w:bCs/>
        </w:rPr>
        <w:t xml:space="preserve">SINISTRES A PAYER </w:t>
      </w:r>
    </w:p>
    <w:p w:rsidR="00710BDF" w:rsidRPr="008D2996" w:rsidRDefault="00710BDF" w:rsidP="00710BDF">
      <w:r w:rsidRPr="00E74A46">
        <w:t>En matière de sinistres à payer, le stock global du secteur est passé de 52,</w:t>
      </w:r>
      <w:r w:rsidR="0078114A">
        <w:t>5</w:t>
      </w:r>
      <w:r w:rsidRPr="00E74A46">
        <w:t xml:space="preserve"> </w:t>
      </w:r>
      <w:r w:rsidR="009135A6">
        <w:t>milliard</w:t>
      </w:r>
      <w:r w:rsidRPr="00E74A46">
        <w:t xml:space="preserve"> de dinars en 2009 à 55,</w:t>
      </w:r>
      <w:r w:rsidR="00752D71">
        <w:t>4</w:t>
      </w:r>
      <w:r w:rsidRPr="00E74A46">
        <w:t xml:space="preserve"> </w:t>
      </w:r>
      <w:r w:rsidR="009135A6">
        <w:t>milliard</w:t>
      </w:r>
      <w:r w:rsidRPr="00E74A46">
        <w:t xml:space="preserve"> en 2010</w:t>
      </w:r>
      <w:r w:rsidR="00AF6E72">
        <w:t xml:space="preserve"> </w:t>
      </w:r>
      <w:r w:rsidRPr="00E74A46">
        <w:t xml:space="preserve">(hors acceptations internationales), soit une hausse de </w:t>
      </w:r>
      <w:r w:rsidR="00752D71">
        <w:t>5,</w:t>
      </w:r>
      <w:r w:rsidR="0078114A">
        <w:t>5</w:t>
      </w:r>
      <w:r w:rsidRPr="00E74A46">
        <w:t>% (+7,8% en 2009).</w:t>
      </w:r>
      <w:r w:rsidRPr="00E74A46">
        <w:rPr>
          <w:color w:val="0000FF"/>
          <w:sz w:val="20"/>
        </w:rPr>
        <w:t xml:space="preserve"> (</w:t>
      </w:r>
      <w:r w:rsidR="00752D71" w:rsidRPr="00E74A46">
        <w:rPr>
          <w:color w:val="0000FF"/>
          <w:sz w:val="20"/>
        </w:rPr>
        <w:t>Tableau</w:t>
      </w:r>
      <w:r w:rsidRPr="00E74A46">
        <w:rPr>
          <w:color w:val="0000FF"/>
          <w:sz w:val="20"/>
        </w:rPr>
        <w:t xml:space="preserve"> n°10.24)</w:t>
      </w:r>
    </w:p>
    <w:p w:rsidR="00776D80" w:rsidRDefault="00710BDF" w:rsidP="00710BDF">
      <w:r w:rsidRPr="00E74A46">
        <w:t xml:space="preserve">Plusieurs sociétés </w:t>
      </w:r>
      <w:r w:rsidR="009E3FFE" w:rsidRPr="00E74A46">
        <w:t>enregistr</w:t>
      </w:r>
      <w:r w:rsidR="009E3FFE">
        <w:t>ent</w:t>
      </w:r>
      <w:r w:rsidR="009E3FFE" w:rsidRPr="00E74A46">
        <w:t xml:space="preserve"> </w:t>
      </w:r>
      <w:r w:rsidRPr="00E74A46">
        <w:t>des baisses de leurs stock de sinistres, l</w:t>
      </w:r>
      <w:r>
        <w:t>es</w:t>
      </w:r>
      <w:r w:rsidRPr="00E74A46">
        <w:t xml:space="preserve"> plus significative</w:t>
      </w:r>
      <w:r>
        <w:t>s</w:t>
      </w:r>
      <w:r w:rsidRPr="00E74A46">
        <w:t xml:space="preserve"> étant celle</w:t>
      </w:r>
      <w:r>
        <w:t>s</w:t>
      </w:r>
      <w:r w:rsidRPr="00E74A46">
        <w:t xml:space="preserve"> enregistrée</w:t>
      </w:r>
      <w:r>
        <w:t>s</w:t>
      </w:r>
      <w:r w:rsidRPr="00E74A46">
        <w:t xml:space="preserve"> par la 2A (-1</w:t>
      </w:r>
      <w:r w:rsidR="00AF6E72">
        <w:t>8,8</w:t>
      </w:r>
      <w:r w:rsidRPr="00E74A46">
        <w:t xml:space="preserve">%), </w:t>
      </w:r>
      <w:r w:rsidR="0078114A">
        <w:t xml:space="preserve">CARDIF (-8,2%) et </w:t>
      </w:r>
      <w:r w:rsidRPr="00E74A46">
        <w:t>la CASH (-</w:t>
      </w:r>
      <w:r w:rsidR="00AF6E72">
        <w:t>6,</w:t>
      </w:r>
      <w:r w:rsidR="00FA0CA0">
        <w:t>7</w:t>
      </w:r>
      <w:r w:rsidRPr="00E74A46">
        <w:t>%)</w:t>
      </w:r>
      <w:r>
        <w:t>.</w:t>
      </w:r>
      <w:r w:rsidRPr="00E74A46">
        <w:t>La hausse de stocks de sinistres la plus significative (+</w:t>
      </w:r>
      <w:r w:rsidR="004C702E">
        <w:t>784</w:t>
      </w:r>
      <w:r w:rsidR="00AF6E72">
        <w:t>,3</w:t>
      </w:r>
      <w:r w:rsidRPr="00E74A46">
        <w:t xml:space="preserve">%) revient à </w:t>
      </w:r>
      <w:r w:rsidR="004C702E">
        <w:t>la CAGEX.</w:t>
      </w:r>
    </w:p>
    <w:p w:rsidR="00776D80" w:rsidRPr="00D45634" w:rsidRDefault="00E45768" w:rsidP="00776D80">
      <w:pPr>
        <w:rPr>
          <w:b/>
        </w:rPr>
      </w:pPr>
      <w:r w:rsidRPr="00E45768">
        <w:rPr>
          <w:b/>
        </w:rPr>
        <w:t xml:space="preserve">Structure des sinistres à payer </w:t>
      </w:r>
    </w:p>
    <w:p w:rsidR="002D775E" w:rsidRPr="008D2996" w:rsidRDefault="003A6049" w:rsidP="002D775E">
      <w:pPr>
        <w:tabs>
          <w:tab w:val="left" w:pos="3720"/>
        </w:tabs>
      </w:pPr>
      <w:r>
        <w:rPr>
          <w:noProof/>
        </w:rPr>
        <w:drawing>
          <wp:inline distT="0" distB="0" distL="0" distR="0">
            <wp:extent cx="5759449" cy="3448050"/>
            <wp:effectExtent l="19050" t="0" r="0" b="0"/>
            <wp:docPr id="4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760720" cy="3448811"/>
                    </a:xfrm>
                    <a:prstGeom prst="rect">
                      <a:avLst/>
                    </a:prstGeom>
                    <a:noFill/>
                    <a:ln w="9525">
                      <a:noFill/>
                      <a:miter lim="800000"/>
                      <a:headEnd/>
                      <a:tailEnd/>
                    </a:ln>
                  </pic:spPr>
                </pic:pic>
              </a:graphicData>
            </a:graphic>
          </wp:inline>
        </w:drawing>
      </w:r>
    </w:p>
    <w:p w:rsidR="002D775E" w:rsidRPr="008D2996" w:rsidRDefault="00E74A46" w:rsidP="002D775E">
      <w:pPr>
        <w:rPr>
          <w:sz w:val="20"/>
        </w:rPr>
      </w:pPr>
      <w:r w:rsidRPr="00E74A46">
        <w:t>La structure du stock de sinistres à payer est dominée par la branche « </w:t>
      </w:r>
      <w:r w:rsidR="00D45634">
        <w:t>a</w:t>
      </w:r>
      <w:r w:rsidRPr="00E74A46">
        <w:t xml:space="preserve">utomobile » avec </w:t>
      </w:r>
      <w:r w:rsidR="00B42B30" w:rsidRPr="00E74A46">
        <w:t>5</w:t>
      </w:r>
      <w:r w:rsidR="00B42B30">
        <w:t>4,7</w:t>
      </w:r>
      <w:r w:rsidRPr="00E74A46">
        <w:t>%, la branche « IRD » est en seconde position avec 32</w:t>
      </w:r>
      <w:r w:rsidR="00B42B30">
        <w:t>,5</w:t>
      </w:r>
      <w:r w:rsidRPr="00E74A46">
        <w:t xml:space="preserve">%. En troisième position se situe la branche « transports » avec </w:t>
      </w:r>
      <w:r w:rsidR="00B42B30">
        <w:t>7,5</w:t>
      </w:r>
      <w:r w:rsidRPr="00E74A46">
        <w:t xml:space="preserve">%. </w:t>
      </w:r>
    </w:p>
    <w:p w:rsidR="0075423C" w:rsidRPr="008D2996" w:rsidRDefault="0015285A" w:rsidP="002D775E">
      <w:r w:rsidRPr="0015285A">
        <w:rPr>
          <w:noProof/>
        </w:rPr>
        <w:lastRenderedPageBreak/>
        <w:drawing>
          <wp:inline distT="0" distB="0" distL="0" distR="0">
            <wp:extent cx="6191745" cy="1852551"/>
            <wp:effectExtent l="19050" t="0" r="0" b="0"/>
            <wp:docPr id="5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6187972" cy="1851422"/>
                    </a:xfrm>
                    <a:prstGeom prst="rect">
                      <a:avLst/>
                    </a:prstGeom>
                    <a:noFill/>
                    <a:ln w="9525">
                      <a:noFill/>
                      <a:miter lim="800000"/>
                      <a:headEnd/>
                      <a:tailEnd/>
                    </a:ln>
                  </pic:spPr>
                </pic:pic>
              </a:graphicData>
            </a:graphic>
          </wp:inline>
        </w:drawing>
      </w:r>
    </w:p>
    <w:p w:rsidR="002D775E" w:rsidRPr="008D2996" w:rsidRDefault="002D775E" w:rsidP="002D775E"/>
    <w:p w:rsidR="002D775E" w:rsidRDefault="00E74A46" w:rsidP="002D775E">
      <w:pPr>
        <w:pStyle w:val="Titre2"/>
      </w:pPr>
      <w:bookmarkStart w:id="316" w:name="_Toc326156004"/>
      <w:bookmarkStart w:id="317" w:name="_Toc327883438"/>
      <w:bookmarkStart w:id="318" w:name="_Toc327883618"/>
      <w:bookmarkStart w:id="319" w:name="_Toc327883963"/>
      <w:bookmarkStart w:id="320" w:name="_Toc327885028"/>
      <w:bookmarkStart w:id="321" w:name="_Toc327885613"/>
      <w:bookmarkStart w:id="322" w:name="_Toc327916540"/>
      <w:r w:rsidRPr="00E74A46">
        <w:t>Taux de règlement des sinistres</w:t>
      </w:r>
      <w:bookmarkEnd w:id="316"/>
      <w:bookmarkEnd w:id="317"/>
      <w:bookmarkEnd w:id="318"/>
      <w:bookmarkEnd w:id="319"/>
      <w:bookmarkEnd w:id="320"/>
      <w:bookmarkEnd w:id="321"/>
      <w:bookmarkEnd w:id="322"/>
    </w:p>
    <w:p w:rsidR="00A47D28" w:rsidRDefault="00A47D28" w:rsidP="002B4E24">
      <w:r>
        <w:t>Le taux de règlement</w:t>
      </w:r>
      <w:r w:rsidRPr="00224281">
        <w:t xml:space="preserve"> des sinistres a </w:t>
      </w:r>
      <w:r>
        <w:t xml:space="preserve">marqué une légère baisse </w:t>
      </w:r>
      <w:r w:rsidRPr="00224281">
        <w:t xml:space="preserve">par rapport à l’année précédente : </w:t>
      </w:r>
      <w:r>
        <w:t>39,3</w:t>
      </w:r>
      <w:r w:rsidRPr="00224281">
        <w:t xml:space="preserve">% </w:t>
      </w:r>
      <w:r>
        <w:t>(hors acceptations internationales de la CCR)</w:t>
      </w:r>
      <w:r w:rsidRPr="00224281">
        <w:t xml:space="preserve"> contre </w:t>
      </w:r>
      <w:r>
        <w:t>40,6</w:t>
      </w:r>
      <w:r w:rsidRPr="00224281">
        <w:t>% en 200</w:t>
      </w:r>
      <w:r>
        <w:t xml:space="preserve">9 </w:t>
      </w:r>
      <w:r w:rsidRPr="00224281">
        <w:rPr>
          <w:color w:val="0000FF"/>
          <w:sz w:val="20"/>
        </w:rPr>
        <w:t>(voir le tableau n°</w:t>
      </w:r>
      <w:r>
        <w:rPr>
          <w:color w:val="0000FF"/>
          <w:sz w:val="20"/>
        </w:rPr>
        <w:t>10</w:t>
      </w:r>
      <w:r w:rsidRPr="00224281">
        <w:rPr>
          <w:color w:val="0000FF"/>
          <w:sz w:val="20"/>
        </w:rPr>
        <w:t>.25)</w:t>
      </w:r>
      <w:r w:rsidRPr="00224281">
        <w:rPr>
          <w:color w:val="0000FF"/>
        </w:rPr>
        <w:t>.</w:t>
      </w:r>
      <w:r w:rsidRPr="00224281">
        <w:t xml:space="preserve"> </w:t>
      </w:r>
    </w:p>
    <w:p w:rsidR="00A47D28" w:rsidRPr="002B4E24" w:rsidRDefault="00A47D28" w:rsidP="002B4E24">
      <w:r w:rsidRPr="002B4E24">
        <w:t>Cette baisse a été induite essentiellement par les sociétés CAGEX, SGCI, TRUST, CAAT et CAAR dont les taux ont régressé respectivement de 82,6%, 33,6%, 24,7%, 11,0%et 14,2</w:t>
      </w:r>
      <w:r w:rsidR="002B4E24" w:rsidRPr="002B4E24">
        <w:t>.</w:t>
      </w:r>
      <w:r w:rsidRPr="002B4E24">
        <w:t xml:space="preserve"> </w:t>
      </w:r>
    </w:p>
    <w:p w:rsidR="00710BDF" w:rsidRPr="002B4E24" w:rsidRDefault="00710BDF" w:rsidP="002B4E24">
      <w:r w:rsidRPr="002B4E24">
        <w:t xml:space="preserve">Des hausses ont cependant </w:t>
      </w:r>
      <w:r w:rsidR="008F02BF" w:rsidRPr="002B4E24">
        <w:t xml:space="preserve">sont </w:t>
      </w:r>
      <w:r w:rsidRPr="002B4E24">
        <w:t>réalisées par plusieurs sociétés, compensant ainsi les baisses enregistrées par ailleurs (notamment +</w:t>
      </w:r>
      <w:r w:rsidR="008F02BF" w:rsidRPr="002B4E24">
        <w:t>16,6</w:t>
      </w:r>
      <w:r w:rsidRPr="002B4E24">
        <w:t xml:space="preserve">% pour la CASH,). </w:t>
      </w:r>
      <w:r w:rsidRPr="002B4E24">
        <w:rPr>
          <w:sz w:val="20"/>
        </w:rPr>
        <w:t>(</w:t>
      </w:r>
      <w:r w:rsidR="00802B03" w:rsidRPr="002B4E24">
        <w:rPr>
          <w:sz w:val="20"/>
        </w:rPr>
        <w:t>Tableau</w:t>
      </w:r>
      <w:r w:rsidRPr="002B4E24">
        <w:rPr>
          <w:sz w:val="20"/>
        </w:rPr>
        <w:t xml:space="preserve"> n°10.25)</w:t>
      </w:r>
      <w:r w:rsidRPr="002B4E24">
        <w:t>.</w:t>
      </w:r>
    </w:p>
    <w:p w:rsidR="002D775E" w:rsidRPr="002B4E24" w:rsidRDefault="00E74A46" w:rsidP="00403FED">
      <w:r w:rsidRPr="002B4E24">
        <w:t>Par branche</w:t>
      </w:r>
      <w:r w:rsidR="00403FED" w:rsidRPr="002B4E24">
        <w:t xml:space="preserve"> d’assurance</w:t>
      </w:r>
      <w:r w:rsidRPr="002B4E24">
        <w:t xml:space="preserve">, les meilleurs </w:t>
      </w:r>
      <w:r w:rsidR="005B2763" w:rsidRPr="002B4E24">
        <w:t xml:space="preserve">taux </w:t>
      </w:r>
      <w:r w:rsidRPr="002B4E24">
        <w:t xml:space="preserve">de règlement sont </w:t>
      </w:r>
      <w:r w:rsidR="00802B03" w:rsidRPr="002B4E24">
        <w:t>constatés</w:t>
      </w:r>
      <w:r w:rsidRPr="002B4E24">
        <w:t xml:space="preserve"> au niveau «risques agricoles» et « automobile» avec des taux respectifs de </w:t>
      </w:r>
      <w:r w:rsidR="0064185C" w:rsidRPr="002B4E24">
        <w:t>7</w:t>
      </w:r>
      <w:r w:rsidR="00802B03" w:rsidRPr="002B4E24">
        <w:t>4,</w:t>
      </w:r>
      <w:r w:rsidR="0064185C" w:rsidRPr="002B4E24">
        <w:t>5</w:t>
      </w:r>
      <w:r w:rsidRPr="002B4E24">
        <w:t>% et 4</w:t>
      </w:r>
      <w:r w:rsidR="00802B03" w:rsidRPr="002B4E24">
        <w:t>6,6</w:t>
      </w:r>
      <w:r w:rsidRPr="002B4E24">
        <w:t>%.</w:t>
      </w:r>
    </w:p>
    <w:p w:rsidR="002D775E" w:rsidRPr="002B4E24" w:rsidRDefault="00E74A46" w:rsidP="00403FED">
      <w:r w:rsidRPr="002B4E24">
        <w:t>Les contre performances concernent les branches « IRD »</w:t>
      </w:r>
      <w:r w:rsidR="005B2763" w:rsidRPr="002B4E24">
        <w:t xml:space="preserve"> </w:t>
      </w:r>
      <w:r w:rsidR="00403FED" w:rsidRPr="002B4E24">
        <w:t>(1</w:t>
      </w:r>
      <w:r w:rsidR="00802B03" w:rsidRPr="002B4E24">
        <w:t>8,</w:t>
      </w:r>
      <w:r w:rsidR="00403FED" w:rsidRPr="002B4E24">
        <w:t>9%)</w:t>
      </w:r>
      <w:r w:rsidRPr="002B4E24">
        <w:t xml:space="preserve">, </w:t>
      </w:r>
      <w:r w:rsidR="0061013A" w:rsidRPr="002B4E24">
        <w:t>« crédit » (</w:t>
      </w:r>
      <w:r w:rsidR="00802B03" w:rsidRPr="002B4E24">
        <w:t>29,7</w:t>
      </w:r>
      <w:r w:rsidR="00403FED" w:rsidRPr="002B4E24">
        <w:t>%)</w:t>
      </w:r>
      <w:r w:rsidRPr="002B4E24">
        <w:t xml:space="preserve"> </w:t>
      </w:r>
      <w:r w:rsidR="0061013A" w:rsidRPr="002B4E24">
        <w:t>et transport (</w:t>
      </w:r>
      <w:r w:rsidR="00403FED" w:rsidRPr="002B4E24">
        <w:t>3</w:t>
      </w:r>
      <w:r w:rsidR="0061013A" w:rsidRPr="002B4E24">
        <w:t>7</w:t>
      </w:r>
      <w:r w:rsidR="00802B03" w:rsidRPr="002B4E24">
        <w:t>,0</w:t>
      </w:r>
      <w:r w:rsidR="00403FED" w:rsidRPr="002B4E24">
        <w:t>%)</w:t>
      </w:r>
      <w:r w:rsidRPr="002B4E24">
        <w:t>.</w:t>
      </w:r>
    </w:p>
    <w:p w:rsidR="002D775E" w:rsidRPr="008D2996" w:rsidRDefault="003A6049" w:rsidP="002D775E">
      <w:r>
        <w:rPr>
          <w:noProof/>
        </w:rPr>
        <w:drawing>
          <wp:inline distT="0" distB="0" distL="0" distR="0">
            <wp:extent cx="5752358" cy="3574472"/>
            <wp:effectExtent l="19050" t="0" r="742" b="0"/>
            <wp:docPr id="3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760720" cy="3579668"/>
                    </a:xfrm>
                    <a:prstGeom prst="rect">
                      <a:avLst/>
                    </a:prstGeom>
                    <a:noFill/>
                    <a:ln w="9525">
                      <a:noFill/>
                      <a:miter lim="800000"/>
                      <a:headEnd/>
                      <a:tailEnd/>
                    </a:ln>
                  </pic:spPr>
                </pic:pic>
              </a:graphicData>
            </a:graphic>
          </wp:inline>
        </w:drawing>
      </w:r>
    </w:p>
    <w:p w:rsidR="002D775E" w:rsidRDefault="002D775E" w:rsidP="002D775E">
      <w:pPr>
        <w:pStyle w:val="Titre2"/>
      </w:pPr>
    </w:p>
    <w:p w:rsidR="002D775E" w:rsidRPr="008D2996" w:rsidRDefault="00E74A46" w:rsidP="002D775E">
      <w:pPr>
        <w:pStyle w:val="Titre2"/>
      </w:pPr>
      <w:bookmarkStart w:id="323" w:name="_Toc326156005"/>
      <w:bookmarkStart w:id="324" w:name="_Toc327883439"/>
      <w:bookmarkStart w:id="325" w:name="_Toc327883619"/>
      <w:bookmarkStart w:id="326" w:name="_Toc327883964"/>
      <w:bookmarkStart w:id="327" w:name="_Toc327885029"/>
      <w:bookmarkStart w:id="328" w:name="_Toc327885614"/>
      <w:bookmarkStart w:id="329" w:name="_Toc327916541"/>
      <w:r w:rsidRPr="00E74A46">
        <w:t>sinistralité</w:t>
      </w:r>
      <w:bookmarkEnd w:id="323"/>
      <w:bookmarkEnd w:id="324"/>
      <w:bookmarkEnd w:id="325"/>
      <w:bookmarkEnd w:id="326"/>
      <w:bookmarkEnd w:id="327"/>
      <w:bookmarkEnd w:id="328"/>
      <w:bookmarkEnd w:id="329"/>
    </w:p>
    <w:p w:rsidR="002D775E" w:rsidRPr="008D2996" w:rsidRDefault="00E74A46" w:rsidP="00403FED">
      <w:pPr>
        <w:pStyle w:val="Commentaire"/>
        <w:spacing w:after="60"/>
      </w:pPr>
      <w:r w:rsidRPr="00E74A46">
        <w:t>Le taux de sinistralité représente le rapport entre la somme des sinistres réglés et le différentiel des sinistres à payer (entre la clôture de l’exercice</w:t>
      </w:r>
      <w:r w:rsidRPr="00E74A46">
        <w:rPr>
          <w:color w:val="000000"/>
          <w:sz w:val="18"/>
          <w:szCs w:val="18"/>
        </w:rPr>
        <w:t xml:space="preserve"> </w:t>
      </w:r>
      <w:r w:rsidRPr="00E74A46">
        <w:t>et l'ouverture de l'exercice précèdent) et les primes acquises.</w:t>
      </w:r>
    </w:p>
    <w:p w:rsidR="002D775E" w:rsidRPr="008D2996" w:rsidRDefault="00E74A46" w:rsidP="0000561D">
      <w:pPr>
        <w:spacing w:after="60"/>
        <w:rPr>
          <w:sz w:val="20"/>
        </w:rPr>
      </w:pPr>
      <w:r w:rsidRPr="00E74A46">
        <w:t xml:space="preserve">L’année 2010  </w:t>
      </w:r>
      <w:r w:rsidR="00653575" w:rsidRPr="00E74A46">
        <w:t>marqu</w:t>
      </w:r>
      <w:r w:rsidR="00653575">
        <w:t>e</w:t>
      </w:r>
      <w:r w:rsidRPr="00E74A46">
        <w:t xml:space="preserve"> une baisse de la sinistralité avec un taux moyen S/P de 4</w:t>
      </w:r>
      <w:r w:rsidR="00D05AEA">
        <w:t>1,7</w:t>
      </w:r>
      <w:r w:rsidRPr="00E74A46">
        <w:t>% (</w:t>
      </w:r>
      <w:r w:rsidR="0040289A">
        <w:t>49,</w:t>
      </w:r>
      <w:r w:rsidR="006F7E7E">
        <w:t>8</w:t>
      </w:r>
      <w:r w:rsidRPr="00E74A46">
        <w:t>% en 2009)</w:t>
      </w:r>
      <w:r w:rsidR="0000561D">
        <w:t xml:space="preserve">. Cette baisse est </w:t>
      </w:r>
      <w:r w:rsidRPr="00E74A46">
        <w:t xml:space="preserve"> due essentiellement à </w:t>
      </w:r>
      <w:r w:rsidR="0000561D">
        <w:t>celles des</w:t>
      </w:r>
      <w:r w:rsidRPr="00E74A46">
        <w:t xml:space="preserve"> taux de sinistralité des branches : « </w:t>
      </w:r>
      <w:r w:rsidR="0040289A">
        <w:t>a</w:t>
      </w:r>
      <w:r w:rsidR="0040289A" w:rsidRPr="00E74A46">
        <w:t>utomobile </w:t>
      </w:r>
      <w:r w:rsidRPr="00E74A46">
        <w:t xml:space="preserve">»  </w:t>
      </w:r>
      <w:r w:rsidR="0000561D" w:rsidRPr="00E74A46">
        <w:t xml:space="preserve">64,2% </w:t>
      </w:r>
      <w:r w:rsidR="00F50382">
        <w:t>(</w:t>
      </w:r>
      <w:r w:rsidRPr="00E74A46">
        <w:t>70,7% en 2009</w:t>
      </w:r>
      <w:r w:rsidR="0000561D">
        <w:t>)</w:t>
      </w:r>
      <w:r w:rsidR="00D323F0">
        <w:t>,</w:t>
      </w:r>
      <w:r w:rsidRPr="00E74A46">
        <w:t xml:space="preserve">  </w:t>
      </w:r>
      <w:r w:rsidR="00E45768" w:rsidRPr="00E45768">
        <w:t>« IRD » (29,8% en 2009 contre 22,1% en 2010) et le « </w:t>
      </w:r>
      <w:r w:rsidR="008A6084">
        <w:t>t</w:t>
      </w:r>
      <w:r w:rsidR="00E45768" w:rsidRPr="00E45768">
        <w:t>ransport » (qui enregistre la plus importante régression avec</w:t>
      </w:r>
      <w:r w:rsidR="00D73B81">
        <w:t xml:space="preserve"> </w:t>
      </w:r>
      <w:r w:rsidR="00E45768" w:rsidRPr="00E45768">
        <w:t xml:space="preserve">un taux de règlement qui passe de 48,3% en 2009 à 5% en 2010) </w:t>
      </w:r>
      <w:r w:rsidR="00E45768" w:rsidRPr="00E45768">
        <w:rPr>
          <w:color w:val="0000FF"/>
          <w:sz w:val="20"/>
        </w:rPr>
        <w:t>(tableau n°10.26)</w:t>
      </w:r>
      <w:r w:rsidR="00E45768" w:rsidRPr="00E45768">
        <w:rPr>
          <w:sz w:val="20"/>
        </w:rPr>
        <w:t>.</w:t>
      </w:r>
      <w:r w:rsidRPr="00E74A46">
        <w:t xml:space="preserve"> </w:t>
      </w:r>
    </w:p>
    <w:p w:rsidR="002D775E" w:rsidRPr="008D2996" w:rsidRDefault="00E74A46" w:rsidP="002D775E">
      <w:pPr>
        <w:spacing w:after="60"/>
      </w:pPr>
      <w:r w:rsidRPr="00E74A46">
        <w:t>La branche « </w:t>
      </w:r>
      <w:r w:rsidR="00D73B81">
        <w:t>c</w:t>
      </w:r>
      <w:r w:rsidRPr="00E74A46">
        <w:t xml:space="preserve">rédit » </w:t>
      </w:r>
      <w:r w:rsidR="001B2718">
        <w:t>marque</w:t>
      </w:r>
      <w:r w:rsidRPr="00E74A46">
        <w:t xml:space="preserve"> une </w:t>
      </w:r>
      <w:r w:rsidR="001B2718">
        <w:t>baisse</w:t>
      </w:r>
      <w:r w:rsidR="001B2718" w:rsidRPr="00E74A46">
        <w:t xml:space="preserve"> </w:t>
      </w:r>
      <w:r w:rsidRPr="00E74A46">
        <w:t xml:space="preserve">du taux de sinistralité passant de </w:t>
      </w:r>
      <w:r w:rsidR="006F7E7E">
        <w:t>65,3</w:t>
      </w:r>
      <w:r w:rsidRPr="00E74A46">
        <w:t xml:space="preserve">% en 2009 à </w:t>
      </w:r>
      <w:r w:rsidR="006F7E7E">
        <w:t>61,8</w:t>
      </w:r>
      <w:r w:rsidRPr="00E74A46">
        <w:t>% en 2010.</w:t>
      </w:r>
    </w:p>
    <w:p w:rsidR="002D775E" w:rsidRPr="008D2996" w:rsidRDefault="00E45768" w:rsidP="002D775E">
      <w:pPr>
        <w:spacing w:after="60"/>
      </w:pPr>
      <w:r w:rsidRPr="00E45768">
        <w:t xml:space="preserve">La plus faible sinistralité a été enregistrée chez la </w:t>
      </w:r>
      <w:r w:rsidR="008D46C3">
        <w:t>CA</w:t>
      </w:r>
      <w:r w:rsidR="005A1F7E">
        <w:t>GEX</w:t>
      </w:r>
      <w:r w:rsidRPr="00E45768">
        <w:t xml:space="preserve">, dont le S/P moyen a été de </w:t>
      </w:r>
      <w:r w:rsidR="005A1F7E">
        <w:t>0,8</w:t>
      </w:r>
      <w:r w:rsidRPr="00E45768">
        <w:t>%.</w:t>
      </w:r>
      <w:r w:rsidR="00E74A46" w:rsidRPr="00E74A46">
        <w:t xml:space="preserve"> </w:t>
      </w:r>
    </w:p>
    <w:p w:rsidR="002D775E" w:rsidRDefault="00E74A46" w:rsidP="0005297D">
      <w:r w:rsidRPr="00E74A46">
        <w:t xml:space="preserve">Des sinistralités élevées sont aussi obtenues lorsque le risque est distribué sur un nombre suffisant de contrats et que les règles de </w:t>
      </w:r>
      <w:r w:rsidR="0005297D">
        <w:t xml:space="preserve">gestion </w:t>
      </w:r>
      <w:r w:rsidRPr="00E74A46">
        <w:t>ne sont pas respectées.</w:t>
      </w:r>
    </w:p>
    <w:p w:rsidR="002B4E24" w:rsidRPr="008D2996" w:rsidRDefault="002B4E24" w:rsidP="0005297D"/>
    <w:p w:rsidR="002D775E" w:rsidRPr="008D2996" w:rsidRDefault="006F7E7E" w:rsidP="002D775E">
      <w:pPr>
        <w:jc w:val="left"/>
      </w:pPr>
      <w:r w:rsidRPr="006F7E7E">
        <w:rPr>
          <w:noProof/>
        </w:rPr>
        <w:drawing>
          <wp:inline distT="0" distB="0" distL="0" distR="0">
            <wp:extent cx="6179868" cy="3313215"/>
            <wp:effectExtent l="19050" t="0" r="0" b="0"/>
            <wp:docPr id="23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6189951" cy="3318621"/>
                    </a:xfrm>
                    <a:prstGeom prst="rect">
                      <a:avLst/>
                    </a:prstGeom>
                    <a:noFill/>
                    <a:ln w="9525">
                      <a:noFill/>
                      <a:miter lim="800000"/>
                      <a:headEnd/>
                      <a:tailEnd/>
                    </a:ln>
                  </pic:spPr>
                </pic:pic>
              </a:graphicData>
            </a:graphic>
          </wp:inline>
        </w:drawing>
      </w:r>
    </w:p>
    <w:p w:rsidR="002B4E24" w:rsidRDefault="002B4E24" w:rsidP="00AB6FF5">
      <w:pPr>
        <w:pStyle w:val="Titre2"/>
        <w:rPr>
          <w:highlight w:val="yellow"/>
        </w:rPr>
      </w:pPr>
    </w:p>
    <w:p w:rsidR="002B4E24" w:rsidRDefault="002B4E24" w:rsidP="002B4E24">
      <w:pPr>
        <w:rPr>
          <w:highlight w:val="yellow"/>
        </w:rPr>
      </w:pPr>
    </w:p>
    <w:p w:rsidR="002B4E24" w:rsidRDefault="002B4E24" w:rsidP="002B4E24">
      <w:pPr>
        <w:rPr>
          <w:highlight w:val="yellow"/>
        </w:rPr>
      </w:pPr>
    </w:p>
    <w:p w:rsidR="002B4E24" w:rsidRPr="002B4E24" w:rsidRDefault="002B4E24" w:rsidP="002B4E24"/>
    <w:p w:rsidR="002B4E24" w:rsidRDefault="002B4E24" w:rsidP="00AB6FF5">
      <w:pPr>
        <w:pStyle w:val="Titre2"/>
        <w:rPr>
          <w:highlight w:val="yellow"/>
        </w:rPr>
      </w:pPr>
    </w:p>
    <w:p w:rsidR="002B4E24" w:rsidRPr="002B4E24" w:rsidRDefault="002B4E24" w:rsidP="002B4E24"/>
    <w:p w:rsidR="00E47D96" w:rsidRPr="00297654" w:rsidRDefault="003F7F1A" w:rsidP="00AB6FF5">
      <w:pPr>
        <w:pStyle w:val="Titre2"/>
        <w:rPr>
          <w:b/>
          <w:sz w:val="28"/>
        </w:rPr>
      </w:pPr>
      <w:bookmarkStart w:id="330" w:name="_Toc326156006"/>
      <w:bookmarkStart w:id="331" w:name="_Toc327883440"/>
      <w:bookmarkStart w:id="332" w:name="_Toc327883620"/>
      <w:bookmarkStart w:id="333" w:name="_Toc327883965"/>
      <w:bookmarkStart w:id="334" w:name="_Toc327885030"/>
      <w:bookmarkStart w:id="335" w:name="_Toc327885615"/>
      <w:bookmarkStart w:id="336" w:name="_Toc327916542"/>
      <w:bookmarkEnd w:id="281"/>
      <w:bookmarkEnd w:id="282"/>
      <w:bookmarkEnd w:id="283"/>
      <w:r w:rsidRPr="00297654">
        <w:rPr>
          <w:b/>
          <w:sz w:val="28"/>
        </w:rPr>
        <w:lastRenderedPageBreak/>
        <w:t>le Fonds de Garantie Automobile (FGA)</w:t>
      </w:r>
      <w:bookmarkEnd w:id="330"/>
      <w:bookmarkEnd w:id="331"/>
      <w:bookmarkEnd w:id="332"/>
      <w:bookmarkEnd w:id="333"/>
      <w:bookmarkEnd w:id="334"/>
      <w:bookmarkEnd w:id="335"/>
      <w:bookmarkEnd w:id="336"/>
    </w:p>
    <w:p w:rsidR="00E47D96" w:rsidRPr="00D034D4" w:rsidRDefault="003F7F1A" w:rsidP="002B503C">
      <w:pPr>
        <w:spacing w:after="60"/>
      </w:pPr>
      <w:r w:rsidRPr="003F7F1A">
        <w:t xml:space="preserve">Le FGA a pour principale attribution l’indemnisation des victimes d’accidents corporels  causés par les véhicules à moteurs non couverts par l’assurance. Ce fonds </w:t>
      </w:r>
      <w:r w:rsidR="002B503C" w:rsidRPr="003F7F1A">
        <w:t>cré</w:t>
      </w:r>
      <w:r w:rsidR="002B503C">
        <w:t>é</w:t>
      </w:r>
      <w:r w:rsidR="002B503C" w:rsidRPr="003F7F1A">
        <w:t xml:space="preserve"> </w:t>
      </w:r>
      <w:r w:rsidRPr="003F7F1A">
        <w:t xml:space="preserve">en 2004, par décret exécutif n°04-103 du 05 avril </w:t>
      </w:r>
      <w:smartTag w:uri="urn:schemas-microsoft-com:office:smarttags" w:element="metricconverter">
        <w:smartTagPr>
          <w:attr w:name="ProductID" w:val="2004, a"/>
        </w:smartTagPr>
        <w:r w:rsidRPr="003F7F1A">
          <w:t>2004, a</w:t>
        </w:r>
      </w:smartTag>
      <w:r w:rsidRPr="003F7F1A">
        <w:t xml:space="preserve"> remplacé le fonds spécial d’indemnisation (FSI). Le FGA est alimenté, en grande partie, par la contribution des assurés fixée à 3% des montants des primes nettes d’annulation et des taxes, y compris leurs accessoires, encaissées au titre de la garantie responsabilité civile automobile.</w:t>
      </w:r>
    </w:p>
    <w:p w:rsidR="00E47D96" w:rsidRPr="00D034D4" w:rsidRDefault="003F7F1A" w:rsidP="002B503C">
      <w:pPr>
        <w:spacing w:after="60"/>
      </w:pPr>
      <w:r w:rsidRPr="003F7F1A">
        <w:t xml:space="preserve">Selon le rapport d’activité </w:t>
      </w:r>
      <w:r w:rsidR="002B503C">
        <w:t xml:space="preserve">2010, </w:t>
      </w:r>
      <w:r w:rsidRPr="003F7F1A">
        <w:t xml:space="preserve">élaboré par le FGA, </w:t>
      </w:r>
      <w:r w:rsidR="002B503C">
        <w:t>l</w:t>
      </w:r>
      <w:r w:rsidR="002B503C" w:rsidRPr="003F7F1A">
        <w:t xml:space="preserve">e </w:t>
      </w:r>
      <w:r w:rsidRPr="003F7F1A">
        <w:t xml:space="preserve">montant  des contributions  a atteint un volume de </w:t>
      </w:r>
      <w:r w:rsidR="00D034D4">
        <w:t>252</w:t>
      </w:r>
      <w:r w:rsidRPr="003F7F1A">
        <w:t>,</w:t>
      </w:r>
      <w:r w:rsidR="00D034D4">
        <w:t>7</w:t>
      </w:r>
      <w:r w:rsidRPr="003F7F1A">
        <w:t xml:space="preserve"> millions de DA contre </w:t>
      </w:r>
      <w:r w:rsidR="00D034D4">
        <w:t> 214,5</w:t>
      </w:r>
      <w:r w:rsidRPr="003F7F1A">
        <w:t xml:space="preserve"> millions de DA en 200</w:t>
      </w:r>
      <w:r w:rsidR="00D034D4">
        <w:t>9</w:t>
      </w:r>
      <w:r w:rsidRPr="003F7F1A">
        <w:t xml:space="preserve">, enregistrant ainsi une évolution de </w:t>
      </w:r>
      <w:r w:rsidR="00D034D4">
        <w:t>18</w:t>
      </w:r>
      <w:r w:rsidRPr="003F7F1A">
        <w:t>%.</w:t>
      </w:r>
    </w:p>
    <w:p w:rsidR="00E47D96" w:rsidRPr="00D034D4" w:rsidRDefault="003F7F1A" w:rsidP="002B503C">
      <w:pPr>
        <w:spacing w:after="60"/>
      </w:pPr>
      <w:r w:rsidRPr="003F7F1A">
        <w:t>Concernant les règlements, l’exercice 20</w:t>
      </w:r>
      <w:r w:rsidR="00D034D4">
        <w:t>10</w:t>
      </w:r>
      <w:r w:rsidRPr="003F7F1A">
        <w:t xml:space="preserve"> a été clôturé avec un montant de </w:t>
      </w:r>
      <w:r w:rsidR="00D034D4">
        <w:t>83</w:t>
      </w:r>
      <w:r w:rsidRPr="003F7F1A">
        <w:t>,</w:t>
      </w:r>
      <w:r w:rsidR="00D034D4">
        <w:t xml:space="preserve">6 </w:t>
      </w:r>
      <w:r w:rsidRPr="003F7F1A">
        <w:t xml:space="preserve">millions de dinars contre </w:t>
      </w:r>
      <w:r w:rsidR="00D034D4">
        <w:t>91</w:t>
      </w:r>
      <w:r w:rsidRPr="003F7F1A">
        <w:t>,</w:t>
      </w:r>
      <w:r w:rsidR="00D034D4">
        <w:t>8</w:t>
      </w:r>
      <w:r w:rsidRPr="003F7F1A">
        <w:t xml:space="preserve"> millions de dinars, en 20</w:t>
      </w:r>
      <w:r w:rsidR="002B503C">
        <w:t>0</w:t>
      </w:r>
      <w:r w:rsidR="00D034D4">
        <w:t>9</w:t>
      </w:r>
      <w:r w:rsidRPr="003F7F1A">
        <w:t xml:space="preserve">, soit </w:t>
      </w:r>
      <w:r w:rsidR="00D034D4">
        <w:t>un repli</w:t>
      </w:r>
      <w:r w:rsidRPr="003F7F1A">
        <w:t xml:space="preserve"> de </w:t>
      </w:r>
      <w:r w:rsidR="00D034D4">
        <w:t>9</w:t>
      </w:r>
      <w:r w:rsidRPr="003F7F1A">
        <w:t>%</w:t>
      </w:r>
      <w:r w:rsidR="002B503C">
        <w:t>.</w:t>
      </w:r>
      <w:r w:rsidRPr="003F7F1A">
        <w:t xml:space="preserve"> </w:t>
      </w:r>
    </w:p>
    <w:p w:rsidR="00E47D96" w:rsidRDefault="003F7F1A" w:rsidP="00AB6FF5">
      <w:r w:rsidRPr="003F7F1A">
        <w:t>En 20</w:t>
      </w:r>
      <w:r w:rsidR="008A3FED">
        <w:t>10</w:t>
      </w:r>
      <w:r w:rsidRPr="003F7F1A">
        <w:t xml:space="preserve">, la proportion des dossiers réglés à l’amiable est en nette </w:t>
      </w:r>
      <w:r w:rsidR="00C50D2C">
        <w:t>ré</w:t>
      </w:r>
      <w:r w:rsidR="00C50D2C" w:rsidRPr="003F7F1A">
        <w:t>gression</w:t>
      </w:r>
      <w:r w:rsidR="00C50D2C">
        <w:t>,</w:t>
      </w:r>
      <w:r w:rsidR="00C50D2C" w:rsidRPr="003F7F1A">
        <w:t xml:space="preserve"> pass</w:t>
      </w:r>
      <w:r w:rsidR="00C50D2C">
        <w:t>ant</w:t>
      </w:r>
      <w:r w:rsidR="00C50D2C" w:rsidRPr="003F7F1A">
        <w:t xml:space="preserve"> </w:t>
      </w:r>
      <w:r w:rsidRPr="003F7F1A">
        <w:t xml:space="preserve">de </w:t>
      </w:r>
      <w:r w:rsidR="008A3FED" w:rsidRPr="00D034D4">
        <w:t>74,4</w:t>
      </w:r>
      <w:r w:rsidRPr="003F7F1A">
        <w:t>% en 200</w:t>
      </w:r>
      <w:r w:rsidR="008A3FED">
        <w:t>9</w:t>
      </w:r>
      <w:r w:rsidRPr="003F7F1A">
        <w:t xml:space="preserve"> à </w:t>
      </w:r>
      <w:r w:rsidR="008A3FED">
        <w:t>60,4</w:t>
      </w:r>
      <w:r w:rsidRPr="003F7F1A">
        <w:t>%en 20</w:t>
      </w:r>
      <w:r w:rsidR="008A3FED">
        <w:t>10</w:t>
      </w:r>
      <w:r w:rsidRPr="003F7F1A">
        <w:t xml:space="preserve"> et celle par voie </w:t>
      </w:r>
      <w:r w:rsidR="00C50D2C" w:rsidRPr="003F7F1A">
        <w:t>judicaire est</w:t>
      </w:r>
      <w:r w:rsidRPr="003F7F1A">
        <w:t xml:space="preserve"> passée de </w:t>
      </w:r>
      <w:r w:rsidR="008A3FED" w:rsidRPr="00D034D4">
        <w:t>25,6</w:t>
      </w:r>
      <w:r w:rsidRPr="003F7F1A">
        <w:t>% en 200</w:t>
      </w:r>
      <w:r w:rsidR="008819A9">
        <w:t>9</w:t>
      </w:r>
      <w:r w:rsidRPr="003F7F1A">
        <w:t xml:space="preserve"> à </w:t>
      </w:r>
      <w:r w:rsidR="008819A9">
        <w:t>39,6</w:t>
      </w:r>
      <w:r w:rsidRPr="003F7F1A">
        <w:t>% en 20</w:t>
      </w:r>
      <w:r w:rsidR="008819A9">
        <w:t>10</w:t>
      </w:r>
      <w:r w:rsidRPr="003F7F1A">
        <w:t>.</w:t>
      </w:r>
    </w:p>
    <w:p w:rsidR="00297654" w:rsidRDefault="00297654" w:rsidP="00AB6FF5"/>
    <w:p w:rsidR="00D91879" w:rsidRPr="00D034D4" w:rsidRDefault="00D91879" w:rsidP="00AB6FF5"/>
    <w:p w:rsidR="00E47D96" w:rsidRPr="00D034D4" w:rsidRDefault="00795DF4" w:rsidP="00AB6FF5">
      <w:r>
        <w:rPr>
          <w:noProof/>
        </w:rPr>
        <w:drawing>
          <wp:inline distT="0" distB="0" distL="0" distR="0">
            <wp:extent cx="6274872" cy="246922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283994" cy="2472812"/>
                    </a:xfrm>
                    <a:prstGeom prst="rect">
                      <a:avLst/>
                    </a:prstGeom>
                    <a:noFill/>
                    <a:ln w="9525">
                      <a:noFill/>
                      <a:miter lim="800000"/>
                      <a:headEnd/>
                      <a:tailEnd/>
                    </a:ln>
                  </pic:spPr>
                </pic:pic>
              </a:graphicData>
            </a:graphic>
          </wp:inline>
        </w:drawing>
      </w:r>
    </w:p>
    <w:p w:rsidR="00E47D96" w:rsidRPr="008D2996" w:rsidRDefault="00E47D96" w:rsidP="00AB6FF5">
      <w:pPr>
        <w:rPr>
          <w:highlight w:val="yellow"/>
        </w:rPr>
      </w:pPr>
    </w:p>
    <w:p w:rsidR="00E47D96" w:rsidRDefault="00E47D96" w:rsidP="00261381">
      <w:pPr>
        <w:rPr>
          <w:highlight w:val="yellow"/>
        </w:rPr>
      </w:pPr>
    </w:p>
    <w:p w:rsidR="006F4F9B" w:rsidRDefault="006F4F9B" w:rsidP="00261381">
      <w:pPr>
        <w:rPr>
          <w:highlight w:val="yellow"/>
        </w:rPr>
      </w:pPr>
    </w:p>
    <w:p w:rsidR="00297654" w:rsidRDefault="00297654" w:rsidP="00261381">
      <w:pPr>
        <w:rPr>
          <w:highlight w:val="yellow"/>
        </w:rPr>
      </w:pPr>
    </w:p>
    <w:p w:rsidR="00297654" w:rsidRDefault="00297654" w:rsidP="00261381">
      <w:pPr>
        <w:rPr>
          <w:highlight w:val="yellow"/>
        </w:rPr>
      </w:pPr>
    </w:p>
    <w:p w:rsidR="00297654" w:rsidRDefault="00297654" w:rsidP="00261381">
      <w:pPr>
        <w:rPr>
          <w:highlight w:val="yellow"/>
        </w:rPr>
      </w:pPr>
    </w:p>
    <w:p w:rsidR="00297654" w:rsidRDefault="00297654" w:rsidP="00261381">
      <w:pPr>
        <w:rPr>
          <w:highlight w:val="yellow"/>
        </w:rPr>
      </w:pPr>
    </w:p>
    <w:p w:rsidR="00297654" w:rsidRDefault="00297654" w:rsidP="00261381">
      <w:pPr>
        <w:rPr>
          <w:highlight w:val="yellow"/>
        </w:rPr>
      </w:pPr>
    </w:p>
    <w:p w:rsidR="00297654" w:rsidRDefault="00297654" w:rsidP="00261381">
      <w:pPr>
        <w:rPr>
          <w:highlight w:val="yellow"/>
        </w:rPr>
      </w:pPr>
    </w:p>
    <w:p w:rsidR="006F4F9B" w:rsidRDefault="006F4F9B" w:rsidP="00261381">
      <w:pPr>
        <w:rPr>
          <w:highlight w:val="yellow"/>
        </w:rPr>
      </w:pPr>
    </w:p>
    <w:p w:rsidR="00E47D96" w:rsidRPr="008D2996" w:rsidRDefault="00E74A46" w:rsidP="00D314C3">
      <w:pPr>
        <w:pStyle w:val="Titre1"/>
        <w:rPr>
          <w:highlight w:val="yellow"/>
        </w:rPr>
      </w:pPr>
      <w:bookmarkStart w:id="337" w:name="_Toc74180119"/>
      <w:bookmarkStart w:id="338" w:name="_Toc74181217"/>
      <w:bookmarkStart w:id="339" w:name="_Toc74181780"/>
      <w:bookmarkStart w:id="340" w:name="_Toc74182613"/>
      <w:bookmarkStart w:id="341" w:name="_Toc74183322"/>
      <w:bookmarkStart w:id="342" w:name="_Toc74188818"/>
      <w:bookmarkStart w:id="343" w:name="_Toc74188922"/>
      <w:bookmarkStart w:id="344" w:name="_Toc74189026"/>
      <w:bookmarkStart w:id="345" w:name="_Toc74189206"/>
      <w:bookmarkStart w:id="346" w:name="_Toc74189325"/>
      <w:bookmarkStart w:id="347" w:name="_Toc74189522"/>
      <w:bookmarkStart w:id="348" w:name="_Toc177110671"/>
      <w:bookmarkStart w:id="349" w:name="_Toc326156007"/>
      <w:bookmarkStart w:id="350" w:name="_Toc327883441"/>
      <w:bookmarkStart w:id="351" w:name="_Toc327916543"/>
      <w:bookmarkStart w:id="352" w:name="_Toc71847727"/>
      <w:bookmarkStart w:id="353" w:name="_Toc496256671"/>
      <w:bookmarkEnd w:id="284"/>
      <w:bookmarkEnd w:id="285"/>
      <w:bookmarkEnd w:id="286"/>
      <w:r w:rsidRPr="00E74A46">
        <w:lastRenderedPageBreak/>
        <w:t>intermédiation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E74A46">
        <w:rPr>
          <w:highlight w:val="yellow"/>
        </w:rPr>
        <w:t xml:space="preserve"> </w:t>
      </w:r>
      <w:bookmarkEnd w:id="352"/>
    </w:p>
    <w:p w:rsidR="005A1F7E" w:rsidRDefault="005A1F7E" w:rsidP="00297654">
      <w:pPr>
        <w:pStyle w:val="Titre2"/>
      </w:pPr>
      <w:bookmarkStart w:id="354" w:name="_Toc71847728"/>
      <w:bookmarkStart w:id="355" w:name="_Toc71851579"/>
      <w:bookmarkStart w:id="356" w:name="_Toc71851696"/>
      <w:bookmarkStart w:id="357" w:name="_Toc73258895"/>
      <w:bookmarkStart w:id="358" w:name="_Toc74152901"/>
      <w:bookmarkStart w:id="359" w:name="_Toc74180120"/>
      <w:bookmarkStart w:id="360" w:name="_Toc74181218"/>
      <w:bookmarkStart w:id="361" w:name="_Toc74181781"/>
      <w:bookmarkStart w:id="362" w:name="_Toc74182614"/>
      <w:bookmarkStart w:id="363" w:name="_Toc74183323"/>
      <w:bookmarkStart w:id="364" w:name="_Toc74183887"/>
      <w:bookmarkStart w:id="365" w:name="_Toc74188819"/>
      <w:bookmarkStart w:id="366" w:name="_Toc74188923"/>
      <w:bookmarkStart w:id="367" w:name="_Toc74189027"/>
      <w:bookmarkStart w:id="368" w:name="_Toc74189207"/>
      <w:bookmarkStart w:id="369" w:name="_Toc74189326"/>
      <w:bookmarkStart w:id="370" w:name="_Toc74189523"/>
      <w:bookmarkStart w:id="371" w:name="_Toc177110672"/>
      <w:r>
        <w:t>R</w:t>
      </w:r>
      <w:r w:rsidR="001274C3">
        <w:t>épartition</w:t>
      </w:r>
      <w:r>
        <w:t xml:space="preserve"> </w:t>
      </w:r>
    </w:p>
    <w:p w:rsidR="00FB2295" w:rsidRPr="008D2996" w:rsidRDefault="00C36333" w:rsidP="00C50D2C">
      <w:r>
        <w:t>778</w:t>
      </w:r>
      <w:r w:rsidRPr="00E74A46">
        <w:t xml:space="preserve"> </w:t>
      </w:r>
      <w:r w:rsidR="00E74A46" w:rsidRPr="00E74A46">
        <w:t xml:space="preserve">intervenants, dont </w:t>
      </w:r>
      <w:r w:rsidR="009453D7">
        <w:t>23</w:t>
      </w:r>
      <w:r w:rsidRPr="00E74A46">
        <w:t xml:space="preserve"> </w:t>
      </w:r>
      <w:r w:rsidR="00E74A46" w:rsidRPr="00E74A46">
        <w:t xml:space="preserve">courtiers, constituent le réseau des intermédiaires en assurances agréés et activant en 2010, soit une augmentation de </w:t>
      </w:r>
      <w:r w:rsidR="00E53506">
        <w:t>22,0</w:t>
      </w:r>
      <w:r w:rsidR="009453D7">
        <w:t xml:space="preserve">% par </w:t>
      </w:r>
      <w:r w:rsidR="00E74A46" w:rsidRPr="00E74A46">
        <w:t>rapport à  2009</w:t>
      </w:r>
      <w:r w:rsidR="00E74A46" w:rsidRPr="00E74A46">
        <w:rPr>
          <w:color w:val="0000FF"/>
        </w:rPr>
        <w:t xml:space="preserve"> </w:t>
      </w:r>
      <w:r w:rsidR="00E74A46" w:rsidRPr="00E74A46">
        <w:rPr>
          <w:color w:val="0000FF"/>
          <w:sz w:val="20"/>
          <w:szCs w:val="20"/>
        </w:rPr>
        <w:t>(tableau n°10.27).</w:t>
      </w:r>
    </w:p>
    <w:p w:rsidR="00FB2295" w:rsidRPr="008D2996" w:rsidRDefault="00E74A46" w:rsidP="00C50D2C">
      <w:r w:rsidRPr="00E74A46">
        <w:t xml:space="preserve">La présence de ces intermédiaires reste toujours inégale en termes de couverture par wilaya. Plus de </w:t>
      </w:r>
      <w:r w:rsidR="0054609E">
        <w:t>6</w:t>
      </w:r>
      <w:r w:rsidR="0099408E">
        <w:t>4</w:t>
      </w:r>
      <w:r w:rsidR="0054609E">
        <w:t>,</w:t>
      </w:r>
      <w:r w:rsidR="0099408E">
        <w:t>4</w:t>
      </w:r>
      <w:r w:rsidR="0054609E">
        <w:t>%</w:t>
      </w:r>
      <w:r w:rsidRPr="00E74A46">
        <w:t xml:space="preserve"> se trouvent au niveau de dix wilayas (Alger, Constantine, Bejaia, Blida, Oran, Sétif, Tizi-Ouzou, Batna, Annaba</w:t>
      </w:r>
      <w:r w:rsidR="0099408E">
        <w:t xml:space="preserve">, Bordj Bou </w:t>
      </w:r>
      <w:r w:rsidR="00581AF7">
        <w:t xml:space="preserve">Arreridj </w:t>
      </w:r>
      <w:r w:rsidRPr="00E74A46">
        <w:t xml:space="preserve">et Tipaza), alors que </w:t>
      </w:r>
      <w:r w:rsidR="00C50D2C" w:rsidRPr="00E74A46">
        <w:t>pr</w:t>
      </w:r>
      <w:r w:rsidR="00C50D2C">
        <w:t>è</w:t>
      </w:r>
      <w:r w:rsidR="00C50D2C" w:rsidRPr="00E74A46">
        <w:t xml:space="preserve">s </w:t>
      </w:r>
      <w:r w:rsidRPr="00E74A46">
        <w:t>de 6</w:t>
      </w:r>
      <w:r w:rsidR="0054609E">
        <w:t>,3</w:t>
      </w:r>
      <w:r w:rsidRPr="00E74A46">
        <w:t>% se trouvent dans les wilayas du sud</w:t>
      </w:r>
      <w:r w:rsidR="0054609E">
        <w:t xml:space="preserve"> (Adrar, Ghardaïa, Biskra, Tindouf, El oued, Ouargla, N</w:t>
      </w:r>
      <w:r w:rsidR="00581AF7">
        <w:t>â</w:t>
      </w:r>
      <w:r w:rsidR="0054609E">
        <w:t xml:space="preserve">ama, Illizi, </w:t>
      </w:r>
      <w:r w:rsidR="0054609E" w:rsidRPr="0054609E">
        <w:t>Taman</w:t>
      </w:r>
      <w:r w:rsidR="0054609E">
        <w:t>r</w:t>
      </w:r>
      <w:r w:rsidR="0054609E" w:rsidRPr="0054609E">
        <w:t>asset</w:t>
      </w:r>
      <w:r w:rsidR="0054609E">
        <w:t>, Bechar)</w:t>
      </w:r>
      <w:r w:rsidRPr="00E74A46">
        <w:t xml:space="preserve">. </w:t>
      </w:r>
    </w:p>
    <w:p w:rsidR="00FB2295" w:rsidRPr="008D2996" w:rsidRDefault="00E74A46" w:rsidP="001274C3">
      <w:r w:rsidRPr="00E74A46">
        <w:t xml:space="preserve">De manière globale, le taux de couverture par le réseau des intermédiaires est de </w:t>
      </w:r>
      <w:r w:rsidR="00C0491E">
        <w:t>2,1</w:t>
      </w:r>
      <w:r w:rsidRPr="00E74A46">
        <w:t xml:space="preserve"> pour 100.000 habitants soit une augmentation par rapport </w:t>
      </w:r>
      <w:r w:rsidR="001274C3">
        <w:t>à</w:t>
      </w:r>
      <w:r w:rsidRPr="00E74A46">
        <w:t xml:space="preserve"> 2009 (1</w:t>
      </w:r>
      <w:r w:rsidR="00BB62C8">
        <w:t>,</w:t>
      </w:r>
      <w:r w:rsidRPr="00E74A46">
        <w:t>8 pour 100.000 habitants)</w:t>
      </w:r>
      <w:r w:rsidR="001274C3">
        <w:t>.</w:t>
      </w:r>
      <w:r w:rsidRPr="00E74A46">
        <w:t xml:space="preserve"> </w:t>
      </w:r>
    </w:p>
    <w:p w:rsidR="00FB2295" w:rsidRPr="008D2996" w:rsidRDefault="00E74A46" w:rsidP="001274C3">
      <w:pPr>
        <w:pStyle w:val="Titre2"/>
      </w:pPr>
      <w:bookmarkStart w:id="372" w:name="_Toc326156008"/>
      <w:bookmarkStart w:id="373" w:name="_Toc327883442"/>
      <w:bookmarkStart w:id="374" w:name="_Toc327883622"/>
      <w:bookmarkStart w:id="375" w:name="_Toc327883967"/>
      <w:bookmarkStart w:id="376" w:name="_Toc327885032"/>
      <w:bookmarkStart w:id="377" w:name="_Toc327885617"/>
      <w:bookmarkStart w:id="378" w:name="_Toc327916544"/>
      <w:r w:rsidRPr="00E74A46">
        <w:t>production</w:t>
      </w:r>
      <w:bookmarkEnd w:id="372"/>
      <w:bookmarkEnd w:id="373"/>
      <w:bookmarkEnd w:id="374"/>
      <w:bookmarkEnd w:id="375"/>
      <w:bookmarkEnd w:id="376"/>
      <w:bookmarkEnd w:id="377"/>
      <w:bookmarkEnd w:id="378"/>
      <w:r w:rsidRPr="00E74A46">
        <w:t xml:space="preserve"> </w:t>
      </w:r>
    </w:p>
    <w:p w:rsidR="00FB2295" w:rsidRPr="008D2996" w:rsidRDefault="00E74A46" w:rsidP="001274C3">
      <w:r w:rsidRPr="00E74A46">
        <w:t xml:space="preserve">La production du réseau d’intermédiaires </w:t>
      </w:r>
      <w:r w:rsidR="001274C3">
        <w:t xml:space="preserve">reste relativement stable </w:t>
      </w:r>
      <w:r w:rsidRPr="00E74A46">
        <w:t xml:space="preserve"> en 2010</w:t>
      </w:r>
      <w:r w:rsidR="001274C3">
        <w:t>. Elle est de</w:t>
      </w:r>
      <w:r w:rsidRPr="00E74A46">
        <w:t xml:space="preserve"> </w:t>
      </w:r>
      <w:r w:rsidR="00E45768" w:rsidRPr="00E45768">
        <w:t>21</w:t>
      </w:r>
      <w:r w:rsidR="00AB2D5E">
        <w:t>,</w:t>
      </w:r>
      <w:r w:rsidR="00251426">
        <w:t>8</w:t>
      </w:r>
      <w:r w:rsidR="005A1F7E" w:rsidRPr="00E74A46">
        <w:t xml:space="preserve"> </w:t>
      </w:r>
      <w:r w:rsidR="009135A6">
        <w:t>milliard</w:t>
      </w:r>
      <w:r w:rsidRPr="00E74A46">
        <w:t xml:space="preserve"> de dinars</w:t>
      </w:r>
      <w:r w:rsidR="00882675">
        <w:t>,</w:t>
      </w:r>
      <w:r w:rsidRPr="00E74A46">
        <w:t xml:space="preserve"> contre 22 </w:t>
      </w:r>
      <w:r w:rsidR="009135A6">
        <w:t>milliard</w:t>
      </w:r>
      <w:r w:rsidRPr="00E74A46">
        <w:t xml:space="preserve"> de dinars en 2009, soit une </w:t>
      </w:r>
      <w:r w:rsidR="001274C3">
        <w:t xml:space="preserve">légère </w:t>
      </w:r>
      <w:r w:rsidRPr="00E74A46">
        <w:t xml:space="preserve">baisse de </w:t>
      </w:r>
      <w:r w:rsidR="005F186B">
        <w:t>1,3</w:t>
      </w:r>
      <w:r w:rsidRPr="00E74A46">
        <w:t>%.</w:t>
      </w:r>
    </w:p>
    <w:p w:rsidR="00FB2295" w:rsidRPr="008D2996" w:rsidRDefault="00E74A46" w:rsidP="00FB2295">
      <w:r w:rsidRPr="00E74A46">
        <w:t xml:space="preserve">Le poids de la production des intermédiaires </w:t>
      </w:r>
      <w:r w:rsidR="00C453C8">
        <w:t xml:space="preserve"> </w:t>
      </w:r>
      <w:r w:rsidR="00C453C8" w:rsidRPr="00E74A46">
        <w:t>conn</w:t>
      </w:r>
      <w:r w:rsidR="00C453C8">
        <w:t>ait</w:t>
      </w:r>
      <w:r w:rsidR="00C453C8" w:rsidRPr="00E74A46">
        <w:t xml:space="preserve"> </w:t>
      </w:r>
      <w:r w:rsidRPr="00E74A46">
        <w:t xml:space="preserve">une </w:t>
      </w:r>
      <w:r w:rsidR="001274C3">
        <w:t>légère</w:t>
      </w:r>
      <w:r w:rsidR="001274C3" w:rsidRPr="00E74A46">
        <w:t xml:space="preserve"> </w:t>
      </w:r>
      <w:r w:rsidR="00C453C8">
        <w:t xml:space="preserve">baisse </w:t>
      </w:r>
      <w:r w:rsidR="00C453C8" w:rsidRPr="00E74A46">
        <w:t xml:space="preserve"> </w:t>
      </w:r>
      <w:r w:rsidRPr="00E74A46">
        <w:t xml:space="preserve">en 2010, soit </w:t>
      </w:r>
      <w:r w:rsidR="00C453C8" w:rsidRPr="00E74A46">
        <w:t>2</w:t>
      </w:r>
      <w:r w:rsidR="00F80B13">
        <w:t>7</w:t>
      </w:r>
      <w:r w:rsidR="00C453C8">
        <w:t>,</w:t>
      </w:r>
      <w:r w:rsidR="00F80B13">
        <w:t>0</w:t>
      </w:r>
      <w:r w:rsidRPr="00E74A46">
        <w:t xml:space="preserve">% contre </w:t>
      </w:r>
      <w:r w:rsidR="00C453C8" w:rsidRPr="00E74A46">
        <w:t>2</w:t>
      </w:r>
      <w:r w:rsidR="00C453C8">
        <w:t>8,</w:t>
      </w:r>
      <w:r w:rsidR="00F80B13">
        <w:t>5</w:t>
      </w:r>
      <w:r w:rsidRPr="00E74A46">
        <w:t>% en 2009</w:t>
      </w:r>
      <w:r w:rsidR="00C300E8">
        <w:t xml:space="preserve"> </w:t>
      </w:r>
      <w:r w:rsidRPr="00E74A46">
        <w:rPr>
          <w:color w:val="0000FF"/>
          <w:sz w:val="20"/>
          <w:szCs w:val="20"/>
        </w:rPr>
        <w:t>(tableau n°10.28</w:t>
      </w:r>
      <w:r w:rsidRPr="00E74A46">
        <w:rPr>
          <w:sz w:val="20"/>
          <w:szCs w:val="20"/>
        </w:rPr>
        <w:t>).</w:t>
      </w:r>
    </w:p>
    <w:p w:rsidR="00FB2295" w:rsidRPr="008D2996" w:rsidRDefault="00E74A46" w:rsidP="00882675">
      <w:r w:rsidRPr="00E74A46">
        <w:t xml:space="preserve">Le réseau de la SAA, la CAAR et la CAAT </w:t>
      </w:r>
      <w:r w:rsidR="00882675">
        <w:t>contribue à hauteur de</w:t>
      </w:r>
      <w:r w:rsidR="00882675" w:rsidRPr="00E74A46">
        <w:t xml:space="preserve"> </w:t>
      </w:r>
      <w:r w:rsidRPr="00E74A46">
        <w:t>48</w:t>
      </w:r>
      <w:r w:rsidR="005A37EB">
        <w:t>,9</w:t>
      </w:r>
      <w:r w:rsidRPr="00E74A46">
        <w:t xml:space="preserve">% du chiffre d’affaires réalisé par l’ensemble des intermédiaires </w:t>
      </w:r>
      <w:r w:rsidRPr="00E74A46">
        <w:rPr>
          <w:color w:val="0000FF"/>
          <w:sz w:val="20"/>
          <w:szCs w:val="20"/>
        </w:rPr>
        <w:t>(tableau n°10.29)</w:t>
      </w:r>
      <w:r w:rsidRPr="00E74A46">
        <w:t xml:space="preserve">. </w:t>
      </w:r>
    </w:p>
    <w:p w:rsidR="00FB2295" w:rsidRPr="008D2996" w:rsidRDefault="00E74A46" w:rsidP="00FB2295">
      <w:r w:rsidRPr="00E74A46">
        <w:t xml:space="preserve">En termes de branches </w:t>
      </w:r>
      <w:r w:rsidRPr="00E74A46">
        <w:rPr>
          <w:color w:val="0000FF"/>
          <w:sz w:val="20"/>
          <w:szCs w:val="20"/>
        </w:rPr>
        <w:t>(tableau n°10.29bis)</w:t>
      </w:r>
      <w:r w:rsidRPr="00E74A46">
        <w:t>, nous constatons que :</w:t>
      </w:r>
    </w:p>
    <w:p w:rsidR="00FB2295" w:rsidRPr="008D2996" w:rsidRDefault="005A37EB" w:rsidP="00882675">
      <w:pPr>
        <w:numPr>
          <w:ilvl w:val="0"/>
          <w:numId w:val="8"/>
        </w:numPr>
      </w:pPr>
      <w:r w:rsidRPr="00E74A46">
        <w:t>6</w:t>
      </w:r>
      <w:r w:rsidR="00F80B13">
        <w:t>5</w:t>
      </w:r>
      <w:r>
        <w:t>,</w:t>
      </w:r>
      <w:r w:rsidR="00F80B13">
        <w:t>3</w:t>
      </w:r>
      <w:r w:rsidR="00E74A46" w:rsidRPr="00E74A46">
        <w:t>% de la production des intermédiaires est réalisé</w:t>
      </w:r>
      <w:r w:rsidR="00882675">
        <w:t>e</w:t>
      </w:r>
      <w:r w:rsidR="00E74A46" w:rsidRPr="00E74A46">
        <w:t xml:space="preserve"> par la branche </w:t>
      </w:r>
      <w:r w:rsidR="00882675">
        <w:t>a</w:t>
      </w:r>
      <w:r w:rsidR="00882675" w:rsidRPr="00E74A46">
        <w:t>utomobile</w:t>
      </w:r>
      <w:r w:rsidR="00882675">
        <w:t>.</w:t>
      </w:r>
      <w:r w:rsidR="00882675" w:rsidRPr="00E74A46">
        <w:t xml:space="preserve"> </w:t>
      </w:r>
      <w:r w:rsidR="00882675">
        <w:t>L</w:t>
      </w:r>
      <w:r w:rsidR="00882675" w:rsidRPr="00E74A46">
        <w:t xml:space="preserve">a </w:t>
      </w:r>
      <w:r w:rsidR="00E74A46" w:rsidRPr="00E74A46">
        <w:t xml:space="preserve">branche « IRD » suit de loin avec seulement </w:t>
      </w:r>
      <w:r w:rsidRPr="00E74A46">
        <w:t>2</w:t>
      </w:r>
      <w:r w:rsidR="00F80B13">
        <w:t>5</w:t>
      </w:r>
      <w:r>
        <w:t>,</w:t>
      </w:r>
      <w:r w:rsidR="00F80B13">
        <w:t>0</w:t>
      </w:r>
      <w:r w:rsidR="00E74A46" w:rsidRPr="00E74A46">
        <w:t>%.</w:t>
      </w:r>
    </w:p>
    <w:p w:rsidR="00FB2295" w:rsidRPr="008D2996" w:rsidRDefault="00882675" w:rsidP="00231383">
      <w:pPr>
        <w:numPr>
          <w:ilvl w:val="0"/>
          <w:numId w:val="8"/>
        </w:numPr>
      </w:pPr>
      <w:r>
        <w:t xml:space="preserve">Avec </w:t>
      </w:r>
      <w:r w:rsidR="005A37EB">
        <w:t>0,02</w:t>
      </w:r>
      <w:r>
        <w:t>%,</w:t>
      </w:r>
      <w:r w:rsidR="002A2F47">
        <w:t xml:space="preserve"> </w:t>
      </w:r>
      <w:r>
        <w:t>l</w:t>
      </w:r>
      <w:r w:rsidRPr="00E74A46">
        <w:t xml:space="preserve">a </w:t>
      </w:r>
      <w:r w:rsidR="00E74A46" w:rsidRPr="00E74A46">
        <w:t>branche « </w:t>
      </w:r>
      <w:r w:rsidR="00C17FFC">
        <w:t>c</w:t>
      </w:r>
      <w:r w:rsidR="00E74A46" w:rsidRPr="00E74A46">
        <w:t>rédit interne » représente la plus faible portion en termes de parts de marché des intermédiaires.</w:t>
      </w:r>
    </w:p>
    <w:p w:rsidR="00FB2295" w:rsidRPr="008D2996" w:rsidRDefault="00E74A46" w:rsidP="00FB2295">
      <w:pPr>
        <w:spacing w:after="0"/>
      </w:pPr>
      <w:r w:rsidRPr="00E74A46">
        <w:t>Le montant des commissions versées aux intermédiaires est de 2,</w:t>
      </w:r>
      <w:r w:rsidR="00F74B64">
        <w:t>8</w:t>
      </w:r>
      <w:r w:rsidRPr="00E74A46">
        <w:t xml:space="preserve"> </w:t>
      </w:r>
      <w:r w:rsidR="009135A6">
        <w:t>milliard</w:t>
      </w:r>
      <w:r w:rsidRPr="00E74A46">
        <w:t xml:space="preserve"> de dinars, dont 685 millions de dinars pour les courtiers, </w:t>
      </w:r>
      <w:r w:rsidR="00A5610A">
        <w:t xml:space="preserve">est </w:t>
      </w:r>
      <w:r w:rsidRPr="00E74A46">
        <w:t>en évolution de 52</w:t>
      </w:r>
      <w:r w:rsidR="00F74B64">
        <w:t>,0</w:t>
      </w:r>
      <w:r w:rsidRPr="00E74A46">
        <w:t>% par rapport à l’exercice précédent.</w:t>
      </w:r>
    </w:p>
    <w:p w:rsidR="00FB2295" w:rsidRPr="008D2996" w:rsidRDefault="00E74A46" w:rsidP="00FB2295">
      <w:pPr>
        <w:rPr>
          <w:highlight w:val="yellow"/>
        </w:rPr>
      </w:pPr>
      <w:r w:rsidRPr="00E74A46">
        <w:t xml:space="preserve">Rapporté à la production des intermédiaires, le taux moyen de commission est de </w:t>
      </w:r>
      <w:r w:rsidR="000C4AB1">
        <w:t>12,8</w:t>
      </w:r>
      <w:r w:rsidRPr="00E74A46">
        <w:t>%.</w:t>
      </w:r>
    </w:p>
    <w:p w:rsidR="00FB2295" w:rsidRPr="008D2996" w:rsidRDefault="00FB2295" w:rsidP="00FB2295">
      <w:pPr>
        <w:rPr>
          <w:highlight w:val="yellow"/>
        </w:rPr>
      </w:pPr>
    </w:p>
    <w:p w:rsidR="00FB2295" w:rsidRPr="008D2996" w:rsidRDefault="00FB2295" w:rsidP="00FB2295">
      <w:pPr>
        <w:pStyle w:val="Notedebasdepage"/>
        <w:rPr>
          <w:sz w:val="12"/>
          <w:szCs w:val="12"/>
          <w:highlight w:val="yellow"/>
        </w:rPr>
      </w:pPr>
    </w:p>
    <w:p w:rsidR="00FB2295" w:rsidRDefault="00FB2295"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69759E" w:rsidRDefault="0069759E" w:rsidP="00FB2295">
      <w:pPr>
        <w:pStyle w:val="Notedebasdepage"/>
        <w:rPr>
          <w:sz w:val="12"/>
          <w:szCs w:val="12"/>
          <w:highlight w:val="yellow"/>
        </w:rPr>
      </w:pPr>
    </w:p>
    <w:p w:rsidR="00064F4C" w:rsidRDefault="003A6049" w:rsidP="00FB2295">
      <w:pPr>
        <w:pStyle w:val="Notedebasdepage"/>
        <w:rPr>
          <w:sz w:val="12"/>
          <w:szCs w:val="12"/>
          <w:highlight w:val="yellow"/>
        </w:rPr>
        <w:sectPr w:rsidR="00064F4C" w:rsidSect="008D2996">
          <w:footnotePr>
            <w:numRestart w:val="eachPage"/>
          </w:footnotePr>
          <w:pgSz w:w="11906" w:h="16838" w:code="9"/>
          <w:pgMar w:top="1871" w:right="1700" w:bottom="1304" w:left="1134" w:header="709" w:footer="709" w:gutter="0"/>
          <w:cols w:space="708"/>
          <w:docGrid w:linePitch="360"/>
        </w:sectPr>
      </w:pPr>
      <w:r>
        <w:rPr>
          <w:noProof/>
          <w:szCs w:val="12"/>
        </w:rPr>
        <w:lastRenderedPageBreak/>
        <w:drawing>
          <wp:inline distT="0" distB="0" distL="0" distR="0">
            <wp:extent cx="6162675" cy="8810625"/>
            <wp:effectExtent l="19050" t="0" r="9525" b="0"/>
            <wp:docPr id="24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6160638" cy="8807712"/>
                    </a:xfrm>
                    <a:prstGeom prst="rect">
                      <a:avLst/>
                    </a:prstGeom>
                    <a:noFill/>
                    <a:ln w="9525">
                      <a:noFill/>
                      <a:miter lim="800000"/>
                      <a:headEnd/>
                      <a:tailEnd/>
                    </a:ln>
                  </pic:spPr>
                </pic:pic>
              </a:graphicData>
            </a:graphic>
          </wp:inline>
        </w:drawing>
      </w:r>
    </w:p>
    <w:p w:rsidR="00064F4C" w:rsidRDefault="0092664D" w:rsidP="008A708B">
      <w:pPr>
        <w:pStyle w:val="Notedebasdepage"/>
        <w:rPr>
          <w:sz w:val="12"/>
          <w:szCs w:val="12"/>
          <w:highlight w:val="yellow"/>
        </w:rPr>
        <w:sectPr w:rsidR="00064F4C" w:rsidSect="00064F4C">
          <w:footnotePr>
            <w:numRestart w:val="eachPage"/>
          </w:footnotePr>
          <w:pgSz w:w="16838" w:h="11906" w:orient="landscape" w:code="9"/>
          <w:pgMar w:top="1134" w:right="1871" w:bottom="1700" w:left="1304" w:header="709" w:footer="709" w:gutter="0"/>
          <w:cols w:space="708"/>
          <w:docGrid w:linePitch="360"/>
        </w:sectPr>
      </w:pPr>
      <w:r w:rsidRPr="0092664D">
        <w:rPr>
          <w:noProof/>
          <w:szCs w:val="12"/>
        </w:rPr>
        <w:lastRenderedPageBreak/>
        <w:drawing>
          <wp:inline distT="0" distB="0" distL="0" distR="0">
            <wp:extent cx="9410700" cy="5886450"/>
            <wp:effectExtent l="19050" t="0" r="0" b="0"/>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9419663" cy="5892057"/>
                    </a:xfrm>
                    <a:prstGeom prst="rect">
                      <a:avLst/>
                    </a:prstGeom>
                    <a:noFill/>
                    <a:ln w="9525">
                      <a:noFill/>
                      <a:miter lim="800000"/>
                      <a:headEnd/>
                      <a:tailEnd/>
                    </a:ln>
                  </pic:spPr>
                </pic:pic>
              </a:graphicData>
            </a:graphic>
          </wp:inline>
        </w:drawing>
      </w:r>
    </w:p>
    <w:p w:rsidR="003A6049" w:rsidRDefault="008E7B1B">
      <w:pPr>
        <w:pStyle w:val="Notedebasdepage"/>
        <w:jc w:val="left"/>
      </w:pPr>
      <w:r w:rsidRPr="008E7B1B">
        <w:rPr>
          <w:noProof/>
          <w:szCs w:val="12"/>
        </w:rPr>
        <w:lastRenderedPageBreak/>
        <w:drawing>
          <wp:inline distT="0" distB="0" distL="0" distR="0">
            <wp:extent cx="6343650" cy="8496300"/>
            <wp:effectExtent l="19050" t="0" r="0" b="0"/>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6343650" cy="8496300"/>
                    </a:xfrm>
                    <a:prstGeom prst="rect">
                      <a:avLst/>
                    </a:prstGeom>
                    <a:noFill/>
                    <a:ln w="9525">
                      <a:noFill/>
                      <a:miter lim="800000"/>
                      <a:headEnd/>
                      <a:tailEnd/>
                    </a:ln>
                  </pic:spPr>
                </pic:pic>
              </a:graphicData>
            </a:graphic>
          </wp:inline>
        </w:drawing>
      </w:r>
    </w:p>
    <w:p w:rsidR="002D775E" w:rsidRPr="008D2996" w:rsidRDefault="00E45768" w:rsidP="002D775E">
      <w:pPr>
        <w:pStyle w:val="Titre1"/>
        <w:rPr>
          <w:sz w:val="22"/>
          <w:szCs w:val="22"/>
        </w:rPr>
      </w:pPr>
      <w:bookmarkStart w:id="379" w:name="_Toc326156009"/>
      <w:bookmarkStart w:id="380" w:name="_Toc327883443"/>
      <w:bookmarkStart w:id="381" w:name="_Toc327916545"/>
      <w:bookmarkStart w:id="382" w:name="_Toc71847731"/>
      <w:bookmarkStart w:id="383" w:name="_Toc71851582"/>
      <w:bookmarkStart w:id="384" w:name="_Toc71851583"/>
      <w:bookmarkStart w:id="385" w:name="_Toc71851699"/>
      <w:bookmarkStart w:id="386" w:name="_Toc71851700"/>
      <w:bookmarkStart w:id="387" w:name="_Toc74180124"/>
      <w:bookmarkStart w:id="388" w:name="_Toc74181222"/>
      <w:bookmarkStart w:id="389" w:name="_Toc74181785"/>
      <w:bookmarkStart w:id="390" w:name="_Toc74182618"/>
      <w:bookmarkStart w:id="391" w:name="_Toc74183327"/>
      <w:bookmarkStart w:id="392" w:name="_Toc74188823"/>
      <w:bookmarkStart w:id="393" w:name="_Toc74188927"/>
      <w:bookmarkStart w:id="394" w:name="_Toc74189031"/>
      <w:bookmarkStart w:id="395" w:name="_Toc74189211"/>
      <w:bookmarkStart w:id="396" w:name="_Toc74189330"/>
      <w:bookmarkStart w:id="397" w:name="_Toc74189527"/>
      <w:bookmarkStart w:id="398" w:name="_Toc177110680"/>
      <w:bookmarkStart w:id="399" w:name="_Toc496256673"/>
      <w:bookmarkStart w:id="400" w:name="_Toc496869959"/>
      <w:bookmarkStart w:id="401" w:name="_Toc25906409"/>
      <w:bookmarkStart w:id="402" w:name="_Toc496256672"/>
      <w:bookmarkStart w:id="403" w:name="_Toc496869958"/>
      <w:bookmarkStart w:id="404" w:name="_Toc2590640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E45768">
        <w:lastRenderedPageBreak/>
        <w:t>réassurance</w:t>
      </w:r>
      <w:bookmarkEnd w:id="379"/>
      <w:bookmarkEnd w:id="380"/>
      <w:bookmarkEnd w:id="381"/>
    </w:p>
    <w:p w:rsidR="002D775E" w:rsidRPr="008D2996" w:rsidRDefault="00E74A46" w:rsidP="002D775E">
      <w:pPr>
        <w:spacing w:after="60" w:line="240" w:lineRule="auto"/>
        <w:rPr>
          <w:color w:val="000000"/>
        </w:rPr>
      </w:pPr>
      <w:r w:rsidRPr="00E74A46">
        <w:rPr>
          <w:color w:val="000000"/>
        </w:rPr>
        <w:t>L’activité de réassurance qui comprend l’importation de couvertures pour les risques nationaux et l’exportation d’assurance à travers la souscription d’affaires en acceptation internationale</w:t>
      </w:r>
      <w:r w:rsidR="009536D7">
        <w:rPr>
          <w:color w:val="000000"/>
        </w:rPr>
        <w:t>.</w:t>
      </w:r>
      <w:r w:rsidRPr="00E74A46">
        <w:rPr>
          <w:color w:val="000000"/>
        </w:rPr>
        <w:t xml:space="preserve"> </w:t>
      </w:r>
      <w:r w:rsidR="00DB3E8E">
        <w:rPr>
          <w:color w:val="000000"/>
        </w:rPr>
        <w:t xml:space="preserve">Nous proposons dans cette partie, en plus des acceptations de la CCR, </w:t>
      </w:r>
      <w:r w:rsidR="0024252A">
        <w:rPr>
          <w:color w:val="000000"/>
        </w:rPr>
        <w:t>l’agrégation d</w:t>
      </w:r>
      <w:r w:rsidR="00DB3E8E">
        <w:rPr>
          <w:color w:val="000000"/>
        </w:rPr>
        <w:t>es cessions des sociétés</w:t>
      </w:r>
      <w:r w:rsidR="0024252A">
        <w:rPr>
          <w:color w:val="000000"/>
        </w:rPr>
        <w:t xml:space="preserve"> d’assurance.</w:t>
      </w:r>
    </w:p>
    <w:p w:rsidR="002D775E" w:rsidRPr="008D2996" w:rsidRDefault="00E74A46" w:rsidP="002D775E">
      <w:pPr>
        <w:pStyle w:val="Titre2"/>
      </w:pPr>
      <w:bookmarkStart w:id="405" w:name="_Toc326156010"/>
      <w:bookmarkStart w:id="406" w:name="_Toc327883444"/>
      <w:bookmarkStart w:id="407" w:name="_Toc327883624"/>
      <w:bookmarkStart w:id="408" w:name="_Toc327883969"/>
      <w:bookmarkStart w:id="409" w:name="_Toc327885034"/>
      <w:bookmarkStart w:id="410" w:name="_Toc327885619"/>
      <w:bookmarkStart w:id="411" w:name="_Toc327916546"/>
      <w:r w:rsidRPr="00E74A46">
        <w:t xml:space="preserve">Evolution et structure de </w:t>
      </w:r>
      <w:smartTag w:uri="urn:schemas-microsoft-com:office:smarttags" w:element="PersonName">
        <w:smartTagPr>
          <w:attr w:name="ProductID" w:val="LA REASSURANCE"/>
        </w:smartTagPr>
        <w:r w:rsidRPr="00E74A46">
          <w:t>la réassurance</w:t>
        </w:r>
      </w:smartTag>
      <w:bookmarkEnd w:id="405"/>
      <w:bookmarkEnd w:id="406"/>
      <w:bookmarkEnd w:id="407"/>
      <w:bookmarkEnd w:id="408"/>
      <w:bookmarkEnd w:id="409"/>
      <w:bookmarkEnd w:id="410"/>
      <w:bookmarkEnd w:id="411"/>
    </w:p>
    <w:p w:rsidR="002D775E" w:rsidRPr="008D2996" w:rsidRDefault="00E74A46" w:rsidP="002D775E">
      <w:pPr>
        <w:rPr>
          <w:color w:val="0000FF"/>
        </w:rPr>
      </w:pPr>
      <w:r w:rsidRPr="00E74A46">
        <w:t xml:space="preserve">Le volume total des primes cédées en réassurance a atteint 27,4 </w:t>
      </w:r>
      <w:r w:rsidR="009135A6">
        <w:t>milliard</w:t>
      </w:r>
      <w:r w:rsidRPr="00E74A46">
        <w:t xml:space="preserve"> de dinars contre 25,1 </w:t>
      </w:r>
      <w:r w:rsidR="009135A6">
        <w:t>milliard</w:t>
      </w:r>
      <w:r w:rsidRPr="00E74A46">
        <w:t xml:space="preserve"> de dinars en 2009, soit une hausse de 8,9%.</w:t>
      </w:r>
      <w:r w:rsidRPr="00E74A46">
        <w:rPr>
          <w:color w:val="0000FF"/>
        </w:rPr>
        <w:t xml:space="preserve"> </w:t>
      </w:r>
      <w:r w:rsidRPr="00E74A46">
        <w:rPr>
          <w:color w:val="0000FF"/>
          <w:sz w:val="20"/>
          <w:szCs w:val="20"/>
        </w:rPr>
        <w:t>(Voir le tableau n° 10.31)</w:t>
      </w:r>
    </w:p>
    <w:p w:rsidR="002D775E" w:rsidRPr="008D2996" w:rsidRDefault="00E74A46" w:rsidP="000363D7">
      <w:r w:rsidRPr="00E74A46">
        <w:t xml:space="preserve">Les cessions directes à l’étranger ont progressé de 7,9% pour atteindre 18,2 </w:t>
      </w:r>
      <w:r w:rsidR="009135A6">
        <w:t>milliard</w:t>
      </w:r>
      <w:r w:rsidRPr="00E74A46">
        <w:t xml:space="preserve"> de dinars, et représentant 66,5% des cessions </w:t>
      </w:r>
      <w:r w:rsidR="009536D7" w:rsidRPr="00E74A46">
        <w:t>totales</w:t>
      </w:r>
      <w:r w:rsidR="009536D7">
        <w:t>. Ainsi, la tendance haussière constatée ces dernières années</w:t>
      </w:r>
      <w:r w:rsidR="009536D7" w:rsidRPr="00E74A46">
        <w:t xml:space="preserve"> </w:t>
      </w:r>
      <w:r w:rsidR="009536D7">
        <w:t>se poursuit. L</w:t>
      </w:r>
      <w:r w:rsidR="009536D7" w:rsidRPr="00E74A46">
        <w:t xml:space="preserve">es </w:t>
      </w:r>
      <w:r w:rsidRPr="00E74A46">
        <w:t xml:space="preserve">cessions </w:t>
      </w:r>
      <w:r w:rsidR="000363D7">
        <w:t xml:space="preserve">au profit de la </w:t>
      </w:r>
      <w:r w:rsidR="000363D7" w:rsidRPr="00E74A46">
        <w:t xml:space="preserve"> </w:t>
      </w:r>
      <w:r w:rsidRPr="00E74A46">
        <w:t>CCR représentent 33,5% des cessions totales</w:t>
      </w:r>
      <w:r w:rsidR="000363D7">
        <w:t>,</w:t>
      </w:r>
      <w:r w:rsidRPr="00E74A46">
        <w:t xml:space="preserve"> soit 9,2 </w:t>
      </w:r>
      <w:r w:rsidR="009135A6">
        <w:t>milliard</w:t>
      </w:r>
      <w:r w:rsidRPr="00E74A46">
        <w:t xml:space="preserve"> de dinars</w:t>
      </w:r>
      <w:r w:rsidR="000363D7">
        <w:t>. Elles s</w:t>
      </w:r>
      <w:r w:rsidRPr="00E74A46">
        <w:t xml:space="preserve">ont </w:t>
      </w:r>
      <w:r w:rsidR="000363D7">
        <w:t xml:space="preserve">en </w:t>
      </w:r>
      <w:r w:rsidRPr="00E74A46">
        <w:t>évolu</w:t>
      </w:r>
      <w:r w:rsidR="000363D7">
        <w:t>tion</w:t>
      </w:r>
      <w:r w:rsidRPr="00E74A46">
        <w:t xml:space="preserve"> de 11</w:t>
      </w:r>
      <w:r w:rsidR="0024252A">
        <w:t>,0</w:t>
      </w:r>
      <w:r w:rsidRPr="00E74A46">
        <w:t xml:space="preserve">%. </w:t>
      </w:r>
    </w:p>
    <w:p w:rsidR="002D775E" w:rsidRPr="008D2996" w:rsidRDefault="00FC0E40" w:rsidP="00FC0E40">
      <w:r>
        <w:t>A</w:t>
      </w:r>
      <w:r w:rsidRPr="00E74A46">
        <w:t>vec un montant de  639 millions de dinars</w:t>
      </w:r>
      <w:r>
        <w:t>,</w:t>
      </w:r>
      <w:r w:rsidRPr="00E74A46">
        <w:t xml:space="preserve"> </w:t>
      </w:r>
      <w:r>
        <w:t>l</w:t>
      </w:r>
      <w:r w:rsidRPr="00E74A46">
        <w:t xml:space="preserve">es </w:t>
      </w:r>
      <w:r w:rsidR="00E74A46" w:rsidRPr="00E74A46">
        <w:t xml:space="preserve">acceptations internationales se </w:t>
      </w:r>
      <w:r>
        <w:t>situent</w:t>
      </w:r>
      <w:r w:rsidRPr="00E74A46">
        <w:t xml:space="preserve"> </w:t>
      </w:r>
      <w:r w:rsidR="00E74A46" w:rsidRPr="00E74A46">
        <w:t>à 2,3%</w:t>
      </w:r>
      <w:r w:rsidR="0024252A">
        <w:t xml:space="preserve"> </w:t>
      </w:r>
      <w:r w:rsidR="00E74A46" w:rsidRPr="00E74A46">
        <w:t>(3</w:t>
      </w:r>
      <w:r w:rsidR="0024252A">
        <w:t>,0</w:t>
      </w:r>
      <w:r w:rsidR="00E74A46" w:rsidRPr="00E74A46">
        <w:t>% en 2009</w:t>
      </w:r>
      <w:r w:rsidRPr="00E74A46">
        <w:t>)</w:t>
      </w:r>
      <w:r>
        <w:t>.</w:t>
      </w:r>
      <w:r w:rsidRPr="00E74A46">
        <w:t xml:space="preserve"> </w:t>
      </w:r>
      <w:r>
        <w:t xml:space="preserve">Cette </w:t>
      </w:r>
      <w:r w:rsidR="00E74A46" w:rsidRPr="00E74A46">
        <w:t xml:space="preserve">faible part  s'explique principalement par la conjoncture internationale </w:t>
      </w:r>
      <w:r w:rsidRPr="00E74A46">
        <w:t>difficile</w:t>
      </w:r>
      <w:r>
        <w:t>. Elle est</w:t>
      </w:r>
      <w:r w:rsidR="00E74A46" w:rsidRPr="00E74A46">
        <w:t xml:space="preserve"> caractérisée par un marché de plus en plus concurrentiel et sélectif en matière de notation des réassureurs et</w:t>
      </w:r>
      <w:r>
        <w:t xml:space="preserve"> par une</w:t>
      </w:r>
      <w:r w:rsidR="00E74A46" w:rsidRPr="00E74A46">
        <w:t xml:space="preserve"> stricte sélection des partenaires dans la souscription à l’international.</w:t>
      </w:r>
    </w:p>
    <w:p w:rsidR="002D775E" w:rsidRPr="008D2996" w:rsidRDefault="00FD22B8" w:rsidP="002D775E">
      <w:pPr>
        <w:jc w:val="left"/>
        <w:rPr>
          <w:highlight w:val="yellow"/>
        </w:rPr>
      </w:pPr>
      <w:r w:rsidRPr="00FD22B8">
        <w:rPr>
          <w:noProof/>
        </w:rPr>
        <w:drawing>
          <wp:inline distT="0" distB="0" distL="0" distR="0">
            <wp:extent cx="5753861" cy="4067175"/>
            <wp:effectExtent l="19050" t="0" r="0" b="0"/>
            <wp:docPr id="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5760720" cy="4072024"/>
                    </a:xfrm>
                    <a:prstGeom prst="rect">
                      <a:avLst/>
                    </a:prstGeom>
                    <a:noFill/>
                    <a:ln w="9525">
                      <a:noFill/>
                      <a:miter lim="800000"/>
                      <a:headEnd/>
                      <a:tailEnd/>
                    </a:ln>
                  </pic:spPr>
                </pic:pic>
              </a:graphicData>
            </a:graphic>
          </wp:inline>
        </w:drawing>
      </w:r>
    </w:p>
    <w:p w:rsidR="002D775E" w:rsidRPr="008D2996" w:rsidRDefault="002D775E" w:rsidP="002D775E">
      <w:pPr>
        <w:jc w:val="left"/>
        <w:rPr>
          <w:highlight w:val="yellow"/>
        </w:rPr>
      </w:pPr>
    </w:p>
    <w:p w:rsidR="002D775E" w:rsidRPr="008D2996" w:rsidRDefault="002D775E" w:rsidP="002D775E">
      <w:pPr>
        <w:jc w:val="left"/>
        <w:rPr>
          <w:highlight w:val="yellow"/>
        </w:rPr>
      </w:pPr>
    </w:p>
    <w:p w:rsidR="002D775E" w:rsidRPr="008D2996" w:rsidRDefault="002D775E" w:rsidP="002D775E">
      <w:pPr>
        <w:jc w:val="left"/>
        <w:rPr>
          <w:highlight w:val="yellow"/>
        </w:rPr>
      </w:pPr>
    </w:p>
    <w:p w:rsidR="002D775E" w:rsidRPr="008D2996" w:rsidRDefault="002D775E" w:rsidP="002D775E">
      <w:pPr>
        <w:jc w:val="left"/>
        <w:rPr>
          <w:highlight w:val="yellow"/>
        </w:rPr>
      </w:pPr>
    </w:p>
    <w:p w:rsidR="0029445F" w:rsidRDefault="0029445F" w:rsidP="002D775E">
      <w:pPr>
        <w:rPr>
          <w:highlight w:val="yellow"/>
        </w:rPr>
      </w:pPr>
    </w:p>
    <w:p w:rsidR="0029445F" w:rsidRPr="008D2996" w:rsidRDefault="0029445F" w:rsidP="0029445F">
      <w:pPr>
        <w:pStyle w:val="Titre2"/>
      </w:pPr>
      <w:bookmarkStart w:id="412" w:name="_Toc327883445"/>
      <w:bookmarkStart w:id="413" w:name="_Toc327883625"/>
      <w:bookmarkStart w:id="414" w:name="_Toc327883970"/>
      <w:bookmarkStart w:id="415" w:name="_Toc327885035"/>
      <w:bookmarkStart w:id="416" w:name="_Toc327885620"/>
      <w:bookmarkStart w:id="417" w:name="_Toc327916547"/>
      <w:r w:rsidRPr="00E74A46">
        <w:t xml:space="preserve">Structure et évolution des acceptations nationales de </w:t>
      </w:r>
      <w:smartTag w:uri="urn:schemas-microsoft-com:office:smarttags" w:element="PersonName">
        <w:smartTagPr>
          <w:attr w:name="ProductID" w:val="la CCR"/>
        </w:smartTagPr>
        <w:r w:rsidRPr="00E74A46">
          <w:t>la CCR</w:t>
        </w:r>
      </w:smartTag>
      <w:bookmarkEnd w:id="412"/>
      <w:bookmarkEnd w:id="413"/>
      <w:bookmarkEnd w:id="414"/>
      <w:bookmarkEnd w:id="415"/>
      <w:bookmarkEnd w:id="416"/>
      <w:bookmarkEnd w:id="417"/>
      <w:r w:rsidRPr="00E74A46">
        <w:t xml:space="preserve"> </w:t>
      </w:r>
    </w:p>
    <w:p w:rsidR="0029445F" w:rsidRDefault="0029445F" w:rsidP="0029445F">
      <w:r w:rsidRPr="00E74A46">
        <w:t xml:space="preserve">Le volume des acceptations nationales de la CCR a atteint 9,2 </w:t>
      </w:r>
      <w:r w:rsidR="009135A6">
        <w:t>milliard</w:t>
      </w:r>
      <w:r w:rsidRPr="00E74A46">
        <w:t xml:space="preserve"> de dinars en 2010 contre 8,3 </w:t>
      </w:r>
      <w:r w:rsidR="009135A6">
        <w:t>milliard</w:t>
      </w:r>
      <w:r w:rsidRPr="00E74A46">
        <w:t xml:space="preserve"> de dinars en 2009, </w:t>
      </w:r>
      <w:r>
        <w:t>soit</w:t>
      </w:r>
      <w:r w:rsidRPr="00E74A46">
        <w:t xml:space="preserve"> une augmentation de 11</w:t>
      </w:r>
      <w:r w:rsidR="00DD0039">
        <w:t>,0</w:t>
      </w:r>
      <w:r w:rsidRPr="00E74A46">
        <w:t>%. Cette progression résulte de l’augmentation des parts de la CCR dans les traités des cédantes nationales</w:t>
      </w:r>
      <w:r w:rsidR="006205A2">
        <w:t>.</w:t>
      </w:r>
    </w:p>
    <w:p w:rsidR="006205A2" w:rsidRDefault="006205A2" w:rsidP="0029445F">
      <w:pPr>
        <w:rPr>
          <w:highlight w:val="yellow"/>
        </w:rPr>
      </w:pPr>
    </w:p>
    <w:p w:rsidR="0029445F" w:rsidRDefault="003A6049" w:rsidP="0029445F">
      <w:pPr>
        <w:rPr>
          <w:highlight w:val="yellow"/>
        </w:rPr>
      </w:pPr>
      <w:r>
        <w:rPr>
          <w:noProof/>
        </w:rPr>
        <w:drawing>
          <wp:inline distT="0" distB="0" distL="0" distR="0">
            <wp:extent cx="6114022" cy="2489200"/>
            <wp:effectExtent l="19050" t="0" r="1028"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6120130" cy="2491687"/>
                    </a:xfrm>
                    <a:prstGeom prst="rect">
                      <a:avLst/>
                    </a:prstGeom>
                    <a:noFill/>
                    <a:ln w="9525">
                      <a:noFill/>
                      <a:miter lim="800000"/>
                      <a:headEnd/>
                      <a:tailEnd/>
                    </a:ln>
                  </pic:spPr>
                </pic:pic>
              </a:graphicData>
            </a:graphic>
          </wp:inline>
        </w:drawing>
      </w:r>
    </w:p>
    <w:p w:rsidR="006F4F9B" w:rsidRDefault="003A6049" w:rsidP="0029445F">
      <w:pPr>
        <w:rPr>
          <w:highlight w:val="yellow"/>
        </w:rPr>
      </w:pPr>
      <w:r>
        <w:rPr>
          <w:noProof/>
        </w:rPr>
        <w:drawing>
          <wp:inline distT="0" distB="0" distL="0" distR="0">
            <wp:extent cx="1485900" cy="171450"/>
            <wp:effectExtent l="0" t="0" r="0" b="0"/>
            <wp:docPr id="4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srcRect/>
                    <a:stretch>
                      <a:fillRect/>
                    </a:stretch>
                  </pic:blipFill>
                  <pic:spPr bwMode="auto">
                    <a:xfrm>
                      <a:off x="0" y="0"/>
                      <a:ext cx="1485900" cy="171450"/>
                    </a:xfrm>
                    <a:prstGeom prst="rect">
                      <a:avLst/>
                    </a:prstGeom>
                    <a:noFill/>
                    <a:ln w="9525">
                      <a:noFill/>
                      <a:miter lim="800000"/>
                      <a:headEnd/>
                      <a:tailEnd/>
                    </a:ln>
                  </pic:spPr>
                </pic:pic>
              </a:graphicData>
            </a:graphic>
          </wp:inline>
        </w:drawing>
      </w:r>
    </w:p>
    <w:p w:rsidR="006F4F9B" w:rsidRDefault="006F4F9B" w:rsidP="006F4F9B">
      <w:pPr>
        <w:rPr>
          <w:highlight w:val="yellow"/>
        </w:rPr>
      </w:pPr>
    </w:p>
    <w:p w:rsidR="002D775E" w:rsidRPr="006F4F9B" w:rsidRDefault="003A6049" w:rsidP="006F4F9B">
      <w:pPr>
        <w:sectPr w:rsidR="002D775E" w:rsidRPr="006F4F9B" w:rsidSect="0029445F">
          <w:footnotePr>
            <w:numRestart w:val="eachPage"/>
          </w:footnotePr>
          <w:pgSz w:w="11906" w:h="16838" w:code="9"/>
          <w:pgMar w:top="1304" w:right="1134" w:bottom="1871" w:left="1134" w:header="709" w:footer="709" w:gutter="0"/>
          <w:cols w:space="708"/>
          <w:docGrid w:linePitch="360"/>
        </w:sectPr>
      </w:pPr>
      <w:r>
        <w:rPr>
          <w:noProof/>
        </w:rPr>
        <w:drawing>
          <wp:inline distT="0" distB="0" distL="0" distR="0">
            <wp:extent cx="6120130" cy="2856907"/>
            <wp:effectExtent l="19050" t="0" r="0" b="0"/>
            <wp:docPr id="6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6120130" cy="2856907"/>
                    </a:xfrm>
                    <a:prstGeom prst="rect">
                      <a:avLst/>
                    </a:prstGeom>
                    <a:noFill/>
                    <a:ln w="9525">
                      <a:noFill/>
                      <a:miter lim="800000"/>
                      <a:headEnd/>
                      <a:tailEnd/>
                    </a:ln>
                  </pic:spPr>
                </pic:pic>
              </a:graphicData>
            </a:graphic>
          </wp:inline>
        </w:drawing>
      </w:r>
    </w:p>
    <w:p w:rsidR="002D775E" w:rsidRPr="008D2996" w:rsidRDefault="00E74A46" w:rsidP="002D775E">
      <w:pPr>
        <w:pStyle w:val="Titre2"/>
        <w:rPr>
          <w:color w:val="000000"/>
        </w:rPr>
      </w:pPr>
      <w:bookmarkStart w:id="418" w:name="_Toc326156012"/>
      <w:bookmarkStart w:id="419" w:name="_Toc327883446"/>
      <w:bookmarkStart w:id="420" w:name="_Toc327883626"/>
      <w:bookmarkStart w:id="421" w:name="_Toc327883971"/>
      <w:bookmarkStart w:id="422" w:name="_Toc327885036"/>
      <w:bookmarkStart w:id="423" w:name="_Toc327885621"/>
      <w:bookmarkStart w:id="424" w:name="_Toc327916548"/>
      <w:r w:rsidRPr="00E74A46">
        <w:rPr>
          <w:color w:val="000000"/>
        </w:rPr>
        <w:lastRenderedPageBreak/>
        <w:t>Pression de réassurance</w:t>
      </w:r>
      <w:bookmarkEnd w:id="418"/>
      <w:bookmarkEnd w:id="419"/>
      <w:bookmarkEnd w:id="420"/>
      <w:bookmarkEnd w:id="421"/>
      <w:bookmarkEnd w:id="422"/>
      <w:bookmarkEnd w:id="423"/>
      <w:bookmarkEnd w:id="424"/>
    </w:p>
    <w:p w:rsidR="002D775E" w:rsidRPr="008D2996" w:rsidRDefault="00E74A46" w:rsidP="002D775E">
      <w:r w:rsidRPr="00E74A46">
        <w:t xml:space="preserve">La pression de réassurance représente la part des cessions en réassurance par rapport à la production totale « hors acceptations internationales ». Cet indicateur mesure la dépendance des sociétés algériennes vis à vis de la réassurance. </w:t>
      </w:r>
    </w:p>
    <w:p w:rsidR="000602FF" w:rsidRDefault="00E74A46" w:rsidP="000602FF">
      <w:r w:rsidRPr="00E74A46">
        <w:t xml:space="preserve">Sur une production globale de 81,1 </w:t>
      </w:r>
      <w:r w:rsidR="009135A6">
        <w:t>milliard</w:t>
      </w:r>
      <w:r w:rsidRPr="00E74A46">
        <w:t xml:space="preserve"> de dinars (hors acceptations internationales)</w:t>
      </w:r>
      <w:r w:rsidR="009C66E0">
        <w:t>,</w:t>
      </w:r>
      <w:r w:rsidR="00157ECE">
        <w:t xml:space="preserve"> </w:t>
      </w:r>
      <w:r w:rsidR="000602FF">
        <w:t>l</w:t>
      </w:r>
      <w:r w:rsidRPr="00E74A46">
        <w:t>a cession directe à l’étranger</w:t>
      </w:r>
      <w:r w:rsidR="000602FF" w:rsidRPr="000602FF">
        <w:t xml:space="preserve"> </w:t>
      </w:r>
      <w:r w:rsidR="000602FF">
        <w:t xml:space="preserve">est </w:t>
      </w:r>
      <w:r w:rsidR="00157ECE">
        <w:t>évaluée</w:t>
      </w:r>
      <w:r w:rsidR="000602FF">
        <w:t xml:space="preserve"> </w:t>
      </w:r>
      <w:r w:rsidR="000602FF" w:rsidRPr="00E74A46">
        <w:t xml:space="preserve">à 18,2 </w:t>
      </w:r>
      <w:r w:rsidR="009135A6">
        <w:t>milliard</w:t>
      </w:r>
      <w:r w:rsidR="000602FF" w:rsidRPr="00E74A46">
        <w:t xml:space="preserve"> de dinars en 2010</w:t>
      </w:r>
      <w:r w:rsidR="000602FF">
        <w:t>.</w:t>
      </w:r>
      <w:r w:rsidRPr="00E74A46">
        <w:t xml:space="preserve"> </w:t>
      </w:r>
      <w:r w:rsidR="000602FF">
        <w:t>Elle</w:t>
      </w:r>
      <w:r w:rsidR="000602FF" w:rsidRPr="00E74A46">
        <w:t xml:space="preserve"> marqu</w:t>
      </w:r>
      <w:r w:rsidR="000602FF">
        <w:t>e</w:t>
      </w:r>
      <w:r w:rsidR="000602FF" w:rsidRPr="00E74A46">
        <w:t xml:space="preserve"> </w:t>
      </w:r>
      <w:r w:rsidRPr="00E74A46">
        <w:t>une hausse de 7,9%</w:t>
      </w:r>
      <w:r w:rsidR="000602FF">
        <w:t xml:space="preserve"> </w:t>
      </w:r>
      <w:r w:rsidRPr="00E74A46">
        <w:t xml:space="preserve"> </w:t>
      </w:r>
      <w:r w:rsidR="000602FF">
        <w:t>(</w:t>
      </w:r>
      <w:r w:rsidRPr="00E74A46">
        <w:t>16,9 milliard de dinars en 2009</w:t>
      </w:r>
      <w:r w:rsidR="000602FF">
        <w:t>)</w:t>
      </w:r>
      <w:r w:rsidRPr="00E74A46">
        <w:t xml:space="preserve">. Le poids de la cession directe à l’étranger </w:t>
      </w:r>
      <w:r w:rsidR="000602FF">
        <w:t xml:space="preserve"> </w:t>
      </w:r>
      <w:r w:rsidRPr="00E74A46">
        <w:t>r</w:t>
      </w:r>
      <w:r w:rsidR="000602FF" w:rsidRPr="00E74A46">
        <w:t>eprésente 66,5% de toute la cession.</w:t>
      </w:r>
    </w:p>
    <w:p w:rsidR="000602FF" w:rsidRPr="008D2996" w:rsidRDefault="00157ECE" w:rsidP="002D775E">
      <w:r w:rsidRPr="00E74A46">
        <w:t>Les</w:t>
      </w:r>
      <w:r w:rsidR="000602FF" w:rsidRPr="00E74A46">
        <w:t xml:space="preserve"> assureurs ont conservé à leur niveau 66,2% des primes, soit un volume de rétention de 53,7 </w:t>
      </w:r>
      <w:r w:rsidR="009135A6">
        <w:t>milliard</w:t>
      </w:r>
      <w:r w:rsidR="000602FF" w:rsidRPr="00E74A46">
        <w:t xml:space="preserve"> de dinars contre </w:t>
      </w:r>
      <w:r w:rsidR="000156E7">
        <w:t xml:space="preserve">52,5 </w:t>
      </w:r>
      <w:r w:rsidR="009135A6">
        <w:t>milliard</w:t>
      </w:r>
      <w:r w:rsidR="000156E7">
        <w:t xml:space="preserve"> de dinars </w:t>
      </w:r>
      <w:r w:rsidR="000602FF" w:rsidRPr="00E74A46">
        <w:t>en 2009. Les besoins de couverture en réassurance sont en légère augmentation avec 33,8% contre 32,4% en 2009</w:t>
      </w:r>
      <w:r w:rsidR="000602FF" w:rsidRPr="00E74A46">
        <w:rPr>
          <w:color w:val="0000FF"/>
          <w:sz w:val="20"/>
          <w:szCs w:val="20"/>
        </w:rPr>
        <w:t>(voir le tableau n°10.32)</w:t>
      </w:r>
      <w:r w:rsidR="000602FF" w:rsidRPr="00E74A46">
        <w:rPr>
          <w:color w:val="0000FF"/>
        </w:rPr>
        <w:t>.</w:t>
      </w:r>
    </w:p>
    <w:p w:rsidR="00515A72" w:rsidRPr="008D2996" w:rsidRDefault="00E74A46" w:rsidP="002D775E">
      <w:r w:rsidRPr="00E74A46">
        <w:t>Quant à la rétention de la CCR, celle-ci a marqué une hausse de 15</w:t>
      </w:r>
      <w:r w:rsidR="00515A72">
        <w:t>,0</w:t>
      </w:r>
      <w:r w:rsidRPr="00E74A46">
        <w:t xml:space="preserve">% passant de </w:t>
      </w:r>
      <w:r w:rsidR="00E45768" w:rsidRPr="00E45768">
        <w:t>5 123,6 millions</w:t>
      </w:r>
      <w:r w:rsidRPr="00E74A46">
        <w:t xml:space="preserve"> de dinars en 2009 à 5 894,2 millions de dinars en 2010.</w:t>
      </w:r>
    </w:p>
    <w:p w:rsidR="002D775E" w:rsidRPr="008D2996" w:rsidRDefault="00E74A46" w:rsidP="002D775E">
      <w:pPr>
        <w:pStyle w:val="Titre2"/>
      </w:pPr>
      <w:bookmarkStart w:id="425" w:name="_Toc326156013"/>
      <w:bookmarkStart w:id="426" w:name="_Toc327883447"/>
      <w:bookmarkStart w:id="427" w:name="_Toc327883627"/>
      <w:bookmarkStart w:id="428" w:name="_Toc327883972"/>
      <w:bookmarkStart w:id="429" w:name="_Toc327885037"/>
      <w:bookmarkStart w:id="430" w:name="_Toc327885622"/>
      <w:bookmarkStart w:id="431" w:name="_Toc327916549"/>
      <w:r w:rsidRPr="00E74A46">
        <w:t xml:space="preserve">Évaluation des apports de </w:t>
      </w:r>
      <w:smartTag w:uri="urn:schemas-microsoft-com:office:smarttags" w:element="PersonName">
        <w:smartTagPr>
          <w:attr w:name="ProductID" w:val="LA REASSURANCE"/>
        </w:smartTagPr>
        <w:r w:rsidRPr="00E74A46">
          <w:t>la réassurance</w:t>
        </w:r>
      </w:smartTag>
      <w:bookmarkEnd w:id="425"/>
      <w:bookmarkEnd w:id="426"/>
      <w:bookmarkEnd w:id="427"/>
      <w:bookmarkEnd w:id="428"/>
      <w:bookmarkEnd w:id="429"/>
      <w:bookmarkEnd w:id="430"/>
      <w:bookmarkEnd w:id="431"/>
      <w:r w:rsidRPr="00E74A46">
        <w:t xml:space="preserve"> </w:t>
      </w:r>
    </w:p>
    <w:p w:rsidR="002D775E" w:rsidRPr="008D2996" w:rsidRDefault="00E74A46" w:rsidP="002D775E">
      <w:pPr>
        <w:pStyle w:val="Titre3"/>
      </w:pPr>
      <w:bookmarkStart w:id="432" w:name="_Toc326156014"/>
      <w:bookmarkStart w:id="433" w:name="_Toc327883448"/>
      <w:bookmarkStart w:id="434" w:name="_Toc327883628"/>
      <w:bookmarkStart w:id="435" w:name="_Toc327883973"/>
      <w:bookmarkStart w:id="436" w:name="_Toc327885038"/>
      <w:bookmarkStart w:id="437" w:name="_Toc327885623"/>
      <w:bookmarkStart w:id="438" w:name="_Toc327916550"/>
      <w:r w:rsidRPr="00E74A46">
        <w:t>Contribution des réassureurs aux indemnisations</w:t>
      </w:r>
      <w:bookmarkEnd w:id="432"/>
      <w:bookmarkEnd w:id="433"/>
      <w:bookmarkEnd w:id="434"/>
      <w:bookmarkEnd w:id="435"/>
      <w:bookmarkEnd w:id="436"/>
      <w:bookmarkEnd w:id="437"/>
      <w:bookmarkEnd w:id="438"/>
    </w:p>
    <w:p w:rsidR="002D775E" w:rsidRPr="008F092A" w:rsidRDefault="00E74A46" w:rsidP="000602FF">
      <w:r w:rsidRPr="008F092A">
        <w:t xml:space="preserve">Le montant des indemnisations réglées par l’ensemble des réassureurs (nationaux et étrangers) s’élève à 5,3 </w:t>
      </w:r>
      <w:r w:rsidR="009135A6" w:rsidRPr="008F092A">
        <w:t>milliard</w:t>
      </w:r>
      <w:r w:rsidRPr="008F092A">
        <w:t xml:space="preserve"> de dinars contre 8,7 </w:t>
      </w:r>
      <w:r w:rsidR="009135A6" w:rsidRPr="008F092A">
        <w:t>milliard</w:t>
      </w:r>
      <w:r w:rsidRPr="008F092A">
        <w:t xml:space="preserve"> de dinars en 2009 soit une baisse de 39%.</w:t>
      </w:r>
      <w:r w:rsidRPr="003279F4">
        <w:rPr>
          <w:color w:val="FF0000"/>
        </w:rPr>
        <w:t xml:space="preserve"> </w:t>
      </w:r>
      <w:r w:rsidRPr="008F092A">
        <w:t xml:space="preserve">Le taux de contribution des réassureurs  a ainsi marqué une baisse passant de </w:t>
      </w:r>
      <w:r w:rsidR="00E45768" w:rsidRPr="00E45768">
        <w:t>24,</w:t>
      </w:r>
      <w:r w:rsidR="008F092A" w:rsidRPr="008F092A">
        <w:t>4</w:t>
      </w:r>
      <w:r w:rsidR="00E45768" w:rsidRPr="00E45768">
        <w:t>%</w:t>
      </w:r>
      <w:r w:rsidRPr="008F092A">
        <w:t xml:space="preserve"> en 2009 à </w:t>
      </w:r>
      <w:r w:rsidR="008F092A">
        <w:t>15</w:t>
      </w:r>
      <w:r w:rsidRPr="008F092A">
        <w:t>,</w:t>
      </w:r>
      <w:r w:rsidR="008F092A">
        <w:t>1</w:t>
      </w:r>
      <w:r w:rsidRPr="008F092A">
        <w:t xml:space="preserve">% en 2010. </w:t>
      </w:r>
    </w:p>
    <w:p w:rsidR="00ED2E71" w:rsidRPr="008D2996" w:rsidRDefault="00A81C35" w:rsidP="000602FF">
      <w:pPr>
        <w:rPr>
          <w:color w:val="0000FF"/>
        </w:rPr>
      </w:pPr>
      <w:r w:rsidRPr="00A81C35">
        <w:rPr>
          <w:noProof/>
        </w:rPr>
        <w:drawing>
          <wp:inline distT="0" distB="0" distL="0" distR="0">
            <wp:extent cx="6372225" cy="3971925"/>
            <wp:effectExtent l="19050" t="0" r="9525" b="0"/>
            <wp:docPr id="6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6370417" cy="3970798"/>
                    </a:xfrm>
                    <a:prstGeom prst="rect">
                      <a:avLst/>
                    </a:prstGeom>
                    <a:noFill/>
                    <a:ln w="9525">
                      <a:noFill/>
                      <a:miter lim="800000"/>
                      <a:headEnd/>
                      <a:tailEnd/>
                    </a:ln>
                  </pic:spPr>
                </pic:pic>
              </a:graphicData>
            </a:graphic>
          </wp:inline>
        </w:drawing>
      </w:r>
    </w:p>
    <w:p w:rsidR="002D775E" w:rsidRDefault="002D775E" w:rsidP="002D775E">
      <w:pPr>
        <w:tabs>
          <w:tab w:val="left" w:pos="567"/>
          <w:tab w:val="left" w:pos="851"/>
          <w:tab w:val="center" w:pos="4005"/>
          <w:tab w:val="right" w:pos="8010"/>
        </w:tabs>
        <w:jc w:val="left"/>
      </w:pPr>
    </w:p>
    <w:p w:rsidR="00BE64F5" w:rsidRDefault="00BE64F5" w:rsidP="002D775E">
      <w:pPr>
        <w:tabs>
          <w:tab w:val="left" w:pos="567"/>
          <w:tab w:val="left" w:pos="851"/>
          <w:tab w:val="center" w:pos="4005"/>
          <w:tab w:val="right" w:pos="8010"/>
        </w:tabs>
        <w:jc w:val="left"/>
      </w:pPr>
    </w:p>
    <w:p w:rsidR="00BE64F5" w:rsidRDefault="00BE64F5" w:rsidP="002D775E">
      <w:pPr>
        <w:tabs>
          <w:tab w:val="left" w:pos="567"/>
          <w:tab w:val="left" w:pos="851"/>
          <w:tab w:val="center" w:pos="4005"/>
          <w:tab w:val="right" w:pos="8010"/>
        </w:tabs>
        <w:jc w:val="left"/>
      </w:pPr>
    </w:p>
    <w:p w:rsidR="00BE64F5" w:rsidRDefault="00BE64F5" w:rsidP="002D775E">
      <w:pPr>
        <w:tabs>
          <w:tab w:val="left" w:pos="567"/>
          <w:tab w:val="left" w:pos="851"/>
          <w:tab w:val="center" w:pos="4005"/>
          <w:tab w:val="right" w:pos="8010"/>
        </w:tabs>
        <w:jc w:val="left"/>
      </w:pPr>
    </w:p>
    <w:p w:rsidR="00DA3979" w:rsidRPr="008D2996" w:rsidRDefault="00DA3979">
      <w:pPr>
        <w:spacing w:after="0" w:line="240" w:lineRule="auto"/>
        <w:jc w:val="left"/>
        <w:rPr>
          <w:b/>
          <w:bCs/>
          <w:caps/>
          <w:sz w:val="28"/>
          <w:szCs w:val="28"/>
          <w:highlight w:val="yellow"/>
        </w:rPr>
      </w:pPr>
      <w:bookmarkStart w:id="439" w:name="_LA_GESTION_DES"/>
      <w:bookmarkStart w:id="440" w:name="_Toc71847747"/>
      <w:bookmarkStart w:id="441" w:name="_Toc71851603"/>
      <w:bookmarkStart w:id="442" w:name="_Toc71851720"/>
      <w:bookmarkStart w:id="443" w:name="_Toc74180133"/>
      <w:bookmarkStart w:id="444" w:name="_Toc74181231"/>
      <w:bookmarkStart w:id="445" w:name="_Toc74181794"/>
      <w:bookmarkStart w:id="446" w:name="_Toc7418218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39"/>
    </w:p>
    <w:p w:rsidR="00D3432D" w:rsidRPr="008D2996" w:rsidRDefault="005D6003" w:rsidP="00FB7010">
      <w:pPr>
        <w:pStyle w:val="Titre1"/>
        <w:rPr>
          <w:b w:val="0"/>
          <w:bCs w:val="0"/>
          <w:caps w:val="0"/>
        </w:rPr>
      </w:pPr>
      <w:bookmarkStart w:id="447" w:name="_Toc327916551"/>
      <w:r>
        <w:rPr>
          <w:b w:val="0"/>
          <w:bCs w:val="0"/>
          <w:caps w:val="0"/>
          <w:sz w:val="48"/>
        </w:rPr>
        <w:t>6</w:t>
      </w:r>
      <w:r w:rsidR="00E45768" w:rsidRPr="00E45768">
        <w:rPr>
          <w:sz w:val="48"/>
        </w:rPr>
        <w:t>° Chapitre : la gestion des sociétés</w:t>
      </w:r>
      <w:bookmarkEnd w:id="447"/>
    </w:p>
    <w:p w:rsidR="00E4091E" w:rsidRPr="008D2996" w:rsidRDefault="00E4091E" w:rsidP="00FB7010">
      <w:pPr>
        <w:pStyle w:val="Titre1"/>
      </w:pPr>
    </w:p>
    <w:p w:rsidR="00E4091E" w:rsidRPr="008D2996" w:rsidRDefault="00E4091E" w:rsidP="009521FF">
      <w:pPr>
        <w:pStyle w:val="TM3"/>
        <w:rPr>
          <w:highlight w:val="yellow"/>
        </w:rPr>
      </w:pPr>
    </w:p>
    <w:p w:rsidR="00E47D96" w:rsidRPr="008D2996" w:rsidRDefault="00E47D96">
      <w:pPr>
        <w:jc w:val="center"/>
        <w:rPr>
          <w:highlight w:val="yellow"/>
        </w:rPr>
      </w:pPr>
    </w:p>
    <w:p w:rsidR="00E47D96" w:rsidRPr="008D2996" w:rsidRDefault="00E47D96">
      <w:pPr>
        <w:jc w:val="left"/>
        <w:rPr>
          <w:b/>
          <w:bCs/>
          <w:caps/>
          <w:sz w:val="28"/>
          <w:szCs w:val="28"/>
          <w:highlight w:val="yellow"/>
        </w:rPr>
        <w:sectPr w:rsidR="00E47D96" w:rsidRPr="008D2996" w:rsidSect="00897A9E">
          <w:footnotePr>
            <w:numRestart w:val="eachPage"/>
          </w:footnotePr>
          <w:pgSz w:w="11906" w:h="16838" w:code="9"/>
          <w:pgMar w:top="1871" w:right="1134" w:bottom="1304" w:left="1134" w:header="709" w:footer="709" w:gutter="0"/>
          <w:cols w:space="708"/>
          <w:vAlign w:val="center"/>
          <w:docGrid w:linePitch="360"/>
        </w:sectPr>
      </w:pPr>
      <w:bookmarkStart w:id="448" w:name="_Toc74188936"/>
      <w:bookmarkStart w:id="449" w:name="_Toc74189040"/>
      <w:bookmarkStart w:id="450" w:name="_Toc74189220"/>
      <w:bookmarkStart w:id="451" w:name="_Toc74189339"/>
      <w:bookmarkStart w:id="452" w:name="_Toc74189536"/>
    </w:p>
    <w:p w:rsidR="00E47D96" w:rsidRPr="008D2996" w:rsidRDefault="0060275F" w:rsidP="0060275F">
      <w:pPr>
        <w:pStyle w:val="Titre1"/>
        <w:rPr>
          <w:b w:val="0"/>
          <w:bCs w:val="0"/>
          <w:caps w:val="0"/>
        </w:rPr>
      </w:pPr>
      <w:bookmarkStart w:id="453" w:name="_Toc327916552"/>
      <w:r w:rsidRPr="00E74A46">
        <w:rPr>
          <w:b w:val="0"/>
          <w:bCs w:val="0"/>
          <w:caps w:val="0"/>
        </w:rPr>
        <w:lastRenderedPageBreak/>
        <w:t xml:space="preserve">GESTION DE LA </w:t>
      </w:r>
      <w:bookmarkEnd w:id="440"/>
      <w:bookmarkEnd w:id="441"/>
      <w:bookmarkEnd w:id="442"/>
      <w:r w:rsidRPr="00E74A46">
        <w:rPr>
          <w:b w:val="0"/>
          <w:bCs w:val="0"/>
          <w:caps w:val="0"/>
        </w:rPr>
        <w:t>TRESORERIE</w:t>
      </w:r>
      <w:bookmarkEnd w:id="443"/>
      <w:bookmarkEnd w:id="444"/>
      <w:bookmarkEnd w:id="445"/>
      <w:bookmarkEnd w:id="446"/>
      <w:bookmarkEnd w:id="448"/>
      <w:bookmarkEnd w:id="449"/>
      <w:bookmarkEnd w:id="450"/>
      <w:bookmarkEnd w:id="451"/>
      <w:bookmarkEnd w:id="452"/>
      <w:bookmarkEnd w:id="453"/>
    </w:p>
    <w:p w:rsidR="000B3618" w:rsidRPr="008D2996" w:rsidRDefault="00E74A46" w:rsidP="000B3618">
      <w:pPr>
        <w:pStyle w:val="Titre2"/>
        <w:rPr>
          <w:color w:val="000000"/>
        </w:rPr>
      </w:pPr>
      <w:bookmarkStart w:id="454" w:name="_Toc326156015"/>
      <w:bookmarkStart w:id="455" w:name="_Toc327883449"/>
      <w:bookmarkStart w:id="456" w:name="_Toc327883629"/>
      <w:bookmarkStart w:id="457" w:name="_Toc327883975"/>
      <w:bookmarkStart w:id="458" w:name="_Toc327885041"/>
      <w:bookmarkStart w:id="459" w:name="_Toc327885626"/>
      <w:bookmarkStart w:id="460" w:name="_Toc327916553"/>
      <w:bookmarkStart w:id="461" w:name="_Toc71847748"/>
      <w:bookmarkStart w:id="462" w:name="_Toc71851604"/>
      <w:bookmarkStart w:id="463" w:name="_Toc71851721"/>
      <w:bookmarkStart w:id="464" w:name="_Toc74152913"/>
      <w:bookmarkStart w:id="465" w:name="_Toc74180134"/>
      <w:bookmarkStart w:id="466" w:name="_Toc74181232"/>
      <w:bookmarkStart w:id="467" w:name="_Toc74181795"/>
      <w:bookmarkStart w:id="468" w:name="_Toc74182187"/>
      <w:bookmarkStart w:id="469" w:name="_Toc74183902"/>
      <w:bookmarkStart w:id="470" w:name="_Toc74188937"/>
      <w:bookmarkStart w:id="471" w:name="_Toc74189041"/>
      <w:bookmarkStart w:id="472" w:name="_Toc74189221"/>
      <w:bookmarkStart w:id="473" w:name="_Toc74189340"/>
      <w:bookmarkStart w:id="474" w:name="_Toc74189537"/>
      <w:bookmarkStart w:id="475" w:name="_Toc177110689"/>
      <w:r w:rsidRPr="00E74A46">
        <w:rPr>
          <w:color w:val="000000"/>
        </w:rPr>
        <w:t>Volume des placements</w:t>
      </w:r>
      <w:bookmarkEnd w:id="454"/>
      <w:bookmarkEnd w:id="455"/>
      <w:bookmarkEnd w:id="456"/>
      <w:bookmarkEnd w:id="457"/>
      <w:bookmarkEnd w:id="458"/>
      <w:bookmarkEnd w:id="459"/>
      <w:bookmarkEnd w:id="460"/>
      <w:r w:rsidRPr="00E74A46">
        <w:rPr>
          <w:color w:val="000000"/>
        </w:rPr>
        <w:t xml:space="preserve">  </w:t>
      </w:r>
    </w:p>
    <w:p w:rsidR="00EB5BF9" w:rsidRDefault="00E74A46">
      <w:r w:rsidRPr="00E74A46">
        <w:t xml:space="preserve">En 2010, les </w:t>
      </w:r>
      <w:r w:rsidR="00B73C97" w:rsidRPr="00E74A46">
        <w:t>placements</w:t>
      </w:r>
      <w:r w:rsidR="00D242B4" w:rsidRPr="00E74A46">
        <w:t xml:space="preserve"> </w:t>
      </w:r>
      <w:r w:rsidR="001D6DD1">
        <w:t xml:space="preserve">des </w:t>
      </w:r>
      <w:r w:rsidRPr="00E74A46">
        <w:t xml:space="preserve">sociétés d'assurances </w:t>
      </w:r>
      <w:r w:rsidR="001D6DD1">
        <w:t>se chiffrent</w:t>
      </w:r>
      <w:r w:rsidRPr="00E74A46">
        <w:t xml:space="preserve"> </w:t>
      </w:r>
      <w:r w:rsidR="001D6DD1">
        <w:t>à</w:t>
      </w:r>
      <w:r w:rsidR="001D6DD1" w:rsidRPr="00E74A46">
        <w:t xml:space="preserve"> </w:t>
      </w:r>
      <w:r w:rsidRPr="00E74A46">
        <w:t xml:space="preserve"> 118</w:t>
      </w:r>
      <w:r w:rsidR="0068344C">
        <w:t>,</w:t>
      </w:r>
      <w:r w:rsidRPr="00E74A46">
        <w:t xml:space="preserve">5 </w:t>
      </w:r>
      <w:r w:rsidR="009135A6">
        <w:t>milliard</w:t>
      </w:r>
      <w:r w:rsidRPr="00E74A46">
        <w:t xml:space="preserve"> de dinars contre 88</w:t>
      </w:r>
      <w:r w:rsidR="0068344C">
        <w:t>,</w:t>
      </w:r>
      <w:r w:rsidRPr="00E74A46">
        <w:t xml:space="preserve">6 </w:t>
      </w:r>
      <w:r w:rsidR="009135A6">
        <w:t>milliard</w:t>
      </w:r>
      <w:r w:rsidRPr="00E74A46">
        <w:t xml:space="preserve"> de dinars en 2009, soit une </w:t>
      </w:r>
      <w:r w:rsidR="001D6DD1">
        <w:t>hausse</w:t>
      </w:r>
      <w:r w:rsidR="001D6DD1" w:rsidRPr="00E74A46">
        <w:t xml:space="preserve"> </w:t>
      </w:r>
      <w:r w:rsidRPr="00E74A46">
        <w:t>de 3</w:t>
      </w:r>
      <w:r w:rsidR="00D37356">
        <w:t>3,7</w:t>
      </w:r>
      <w:r w:rsidRPr="00E74A46">
        <w:t xml:space="preserve">% </w:t>
      </w:r>
      <w:r w:rsidR="00BE64F5" w:rsidRPr="00E74A46">
        <w:rPr>
          <w:color w:val="0000FF"/>
          <w:sz w:val="20"/>
          <w:szCs w:val="20"/>
        </w:rPr>
        <w:t>(</w:t>
      </w:r>
      <w:r w:rsidRPr="00E74A46">
        <w:rPr>
          <w:color w:val="0000FF"/>
          <w:sz w:val="20"/>
          <w:szCs w:val="20"/>
        </w:rPr>
        <w:t>tableau n° 10.35)</w:t>
      </w:r>
      <w:r w:rsidRPr="00E74A46">
        <w:t>.</w:t>
      </w:r>
    </w:p>
    <w:p w:rsidR="00EB5BF9" w:rsidRDefault="00B73C97">
      <w:r>
        <w:t>Les</w:t>
      </w:r>
      <w:r w:rsidR="00E74A46" w:rsidRPr="00E74A46">
        <w:t xml:space="preserve"> placements </w:t>
      </w:r>
      <w:r w:rsidR="001D6DD1">
        <w:t xml:space="preserve">additionnels, </w:t>
      </w:r>
      <w:r w:rsidR="00E74A46" w:rsidRPr="00E74A46">
        <w:t>induits par l’activité des opérations d’assurance, constitue</w:t>
      </w:r>
      <w:r w:rsidR="001D6DD1">
        <w:t>nt</w:t>
      </w:r>
      <w:r w:rsidR="00E74A46" w:rsidRPr="00E74A46">
        <w:t xml:space="preserve"> l’apport des assurances au financement de l’économie</w:t>
      </w:r>
      <w:r w:rsidR="001D6DD1">
        <w:t xml:space="preserve">. </w:t>
      </w:r>
      <w:r>
        <w:t>Ils</w:t>
      </w:r>
      <w:r w:rsidR="001D6DD1" w:rsidRPr="00E74A46">
        <w:t xml:space="preserve"> </w:t>
      </w:r>
      <w:r w:rsidR="00E74A46" w:rsidRPr="00E74A46">
        <w:t>s’</w:t>
      </w:r>
      <w:r w:rsidR="0068695D" w:rsidRPr="00E74A46">
        <w:t>élèv</w:t>
      </w:r>
      <w:r w:rsidR="0068695D">
        <w:t>e</w:t>
      </w:r>
      <w:r w:rsidR="001D6DD1">
        <w:t>nt</w:t>
      </w:r>
      <w:r w:rsidR="0068695D" w:rsidRPr="00E74A46">
        <w:t xml:space="preserve"> </w:t>
      </w:r>
      <w:r w:rsidR="00E74A46" w:rsidRPr="00E74A46">
        <w:t>à 29</w:t>
      </w:r>
      <w:r w:rsidR="005160EE">
        <w:t>,</w:t>
      </w:r>
      <w:r w:rsidR="009D3ABC">
        <w:t>9</w:t>
      </w:r>
      <w:r w:rsidR="009D3ABC" w:rsidRPr="00E74A46">
        <w:t xml:space="preserve"> </w:t>
      </w:r>
      <w:r w:rsidR="009135A6">
        <w:t>milliard</w:t>
      </w:r>
      <w:r w:rsidR="00E74A46" w:rsidRPr="00E74A46">
        <w:t xml:space="preserve"> de dinars </w:t>
      </w:r>
      <w:r w:rsidR="0068695D">
        <w:t>20</w:t>
      </w:r>
      <w:r w:rsidR="006932F5">
        <w:t>10</w:t>
      </w:r>
      <w:r w:rsidR="00E74A46" w:rsidRPr="00E74A46">
        <w:t xml:space="preserve">. </w:t>
      </w:r>
    </w:p>
    <w:p w:rsidR="00EB5BF9" w:rsidRDefault="00E74A46">
      <w:r w:rsidRPr="00E74A46">
        <w:t xml:space="preserve">Avec </w:t>
      </w:r>
      <w:r w:rsidR="001D6DD1" w:rsidRPr="00E74A46">
        <w:t>35</w:t>
      </w:r>
      <w:r w:rsidR="001D6DD1">
        <w:t>,</w:t>
      </w:r>
      <w:r w:rsidR="008F4CA8">
        <w:t>9</w:t>
      </w:r>
      <w:r w:rsidR="009135A6">
        <w:t>milliard</w:t>
      </w:r>
      <w:r w:rsidR="001D6DD1" w:rsidRPr="00E74A46">
        <w:t xml:space="preserve"> de dinars</w:t>
      </w:r>
      <w:r w:rsidR="001D6DD1">
        <w:t>,</w:t>
      </w:r>
      <w:r w:rsidR="001D6DD1" w:rsidRPr="00E74A46">
        <w:t xml:space="preserve"> </w:t>
      </w:r>
      <w:r w:rsidR="001D6DD1">
        <w:t xml:space="preserve">soit </w:t>
      </w:r>
      <w:r w:rsidRPr="00E74A46">
        <w:t>30</w:t>
      </w:r>
      <w:r w:rsidR="00897DD5">
        <w:t>,</w:t>
      </w:r>
      <w:r w:rsidRPr="00E74A46">
        <w:t>3% de part</w:t>
      </w:r>
      <w:r w:rsidR="00897DD5">
        <w:t xml:space="preserve"> et une</w:t>
      </w:r>
      <w:r w:rsidR="00897DD5" w:rsidRPr="00897DD5">
        <w:t xml:space="preserve"> </w:t>
      </w:r>
      <w:r w:rsidR="00897DD5" w:rsidRPr="00E74A46">
        <w:t>progression de 15</w:t>
      </w:r>
      <w:r w:rsidR="00897DD5">
        <w:t>,</w:t>
      </w:r>
      <w:r w:rsidR="00897DD5" w:rsidRPr="00E74A46">
        <w:t xml:space="preserve">7% </w:t>
      </w:r>
      <w:r w:rsidR="009D3ABC" w:rsidRPr="00E74A46">
        <w:t xml:space="preserve">du volume de ses placements </w:t>
      </w:r>
      <w:r w:rsidR="00897DD5" w:rsidRPr="00E74A46">
        <w:t>par rapport à 2009</w:t>
      </w:r>
      <w:r w:rsidR="00897DD5">
        <w:t>,</w:t>
      </w:r>
      <w:r w:rsidRPr="00E74A46">
        <w:t xml:space="preserve"> la SAA demeure le principal pourvoyeur de fonds</w:t>
      </w:r>
      <w:r w:rsidR="00897DD5">
        <w:t>.</w:t>
      </w:r>
    </w:p>
    <w:p w:rsidR="0068695D" w:rsidRDefault="00E74A46" w:rsidP="000B3618">
      <w:r w:rsidRPr="00E74A46">
        <w:t>La CCR</w:t>
      </w:r>
      <w:r w:rsidR="009D3ABC">
        <w:t xml:space="preserve"> avec</w:t>
      </w:r>
      <w:r w:rsidR="005D4921">
        <w:t xml:space="preserve"> une </w:t>
      </w:r>
      <w:r w:rsidR="009D3ABC">
        <w:t xml:space="preserve"> </w:t>
      </w:r>
      <w:r w:rsidR="009D3ABC" w:rsidRPr="00E74A46">
        <w:t>progression de 32</w:t>
      </w:r>
      <w:r w:rsidR="009D3ABC">
        <w:t>,</w:t>
      </w:r>
      <w:r w:rsidR="009D3ABC" w:rsidRPr="00E74A46">
        <w:t>7%</w:t>
      </w:r>
      <w:r w:rsidR="009D3ABC">
        <w:t xml:space="preserve"> et une part de </w:t>
      </w:r>
      <w:r w:rsidR="009D3ABC" w:rsidRPr="00E74A46">
        <w:t>17</w:t>
      </w:r>
      <w:r w:rsidR="009D3ABC">
        <w:t>,</w:t>
      </w:r>
      <w:r w:rsidR="009D3ABC" w:rsidRPr="00E74A46">
        <w:t>9% du total des placements</w:t>
      </w:r>
      <w:r w:rsidRPr="00E74A46">
        <w:t xml:space="preserve">, </w:t>
      </w:r>
      <w:r w:rsidR="009D3ABC">
        <w:t xml:space="preserve">devient le </w:t>
      </w:r>
      <w:r w:rsidRPr="00E74A46">
        <w:t>second pourvoyeur financier (</w:t>
      </w:r>
      <w:r w:rsidR="009D3ABC">
        <w:t>4</w:t>
      </w:r>
      <w:r w:rsidR="00E45768" w:rsidRPr="00E45768">
        <w:rPr>
          <w:vertAlign w:val="superscript"/>
        </w:rPr>
        <w:t>éme</w:t>
      </w:r>
      <w:r w:rsidR="009D3ABC">
        <w:t xml:space="preserve"> position en 2009</w:t>
      </w:r>
      <w:r w:rsidRPr="00E74A46">
        <w:t>)</w:t>
      </w:r>
      <w:r w:rsidR="009D3ABC">
        <w:t>.</w:t>
      </w:r>
      <w:r w:rsidRPr="00E74A46">
        <w:t xml:space="preserve"> </w:t>
      </w:r>
    </w:p>
    <w:p w:rsidR="00EB5BF9" w:rsidRDefault="00E74A46">
      <w:r w:rsidRPr="00E74A46">
        <w:t xml:space="preserve">La CAAR et la CAAT </w:t>
      </w:r>
      <w:r w:rsidR="001D6DD1">
        <w:t xml:space="preserve">se situent </w:t>
      </w:r>
      <w:r w:rsidRPr="00E74A46">
        <w:t>en 3</w:t>
      </w:r>
      <w:r w:rsidR="00897DD5" w:rsidRPr="00E74A46">
        <w:rPr>
          <w:vertAlign w:val="superscript"/>
        </w:rPr>
        <w:t>ème</w:t>
      </w:r>
      <w:r w:rsidR="00897DD5" w:rsidRPr="00E74A46">
        <w:t xml:space="preserve"> </w:t>
      </w:r>
      <w:r w:rsidRPr="00E74A46">
        <w:t xml:space="preserve"> et 4</w:t>
      </w:r>
      <w:r w:rsidRPr="00E74A46">
        <w:rPr>
          <w:vertAlign w:val="superscript"/>
        </w:rPr>
        <w:t>ème</w:t>
      </w:r>
      <w:r w:rsidRPr="00E74A46">
        <w:t xml:space="preserve">  position avec des parts respectives de 16</w:t>
      </w:r>
      <w:r w:rsidR="00897DD5">
        <w:t>,</w:t>
      </w:r>
      <w:r w:rsidRPr="00E74A46">
        <w:t>8% et 15</w:t>
      </w:r>
      <w:r w:rsidR="00897DD5">
        <w:t>,</w:t>
      </w:r>
      <w:r w:rsidRPr="00E74A46">
        <w:t>9% contre 17</w:t>
      </w:r>
      <w:r w:rsidR="00897DD5">
        <w:t>,</w:t>
      </w:r>
      <w:r w:rsidRPr="00E74A46">
        <w:t>1% et  16,5% en 2009.</w:t>
      </w:r>
    </w:p>
    <w:p w:rsidR="000B3618" w:rsidRPr="008D2996" w:rsidRDefault="00E74A46" w:rsidP="000B3618">
      <w:r w:rsidRPr="00E74A46">
        <w:t>Notons que les sociétés traditionnelles (CAAR, SAA, CAAT, CNMA et CCR) réalisent encore l'essentiel des placements du secteur avec 83</w:t>
      </w:r>
      <w:r w:rsidR="005D4921">
        <w:t>,</w:t>
      </w:r>
      <w:r w:rsidRPr="00E74A46">
        <w:t>3%</w:t>
      </w:r>
      <w:r w:rsidR="005D4921">
        <w:t xml:space="preserve"> </w:t>
      </w:r>
      <w:r w:rsidRPr="00E74A46">
        <w:t xml:space="preserve">du volume global contre </w:t>
      </w:r>
      <w:r w:rsidR="008F4CA8">
        <w:t>83,8</w:t>
      </w:r>
      <w:r w:rsidRPr="00E74A46">
        <w:t>%  en 2009.</w:t>
      </w:r>
    </w:p>
    <w:p w:rsidR="00EB5BF9" w:rsidRDefault="00E74A46">
      <w:r w:rsidRPr="00E74A46">
        <w:t xml:space="preserve">L'année 2010 </w:t>
      </w:r>
      <w:r w:rsidR="004B1BCA">
        <w:t>est</w:t>
      </w:r>
      <w:r w:rsidRPr="00E74A46">
        <w:t xml:space="preserve"> marquée par une hausse du volume des placements de toutes les sociétés</w:t>
      </w:r>
      <w:r w:rsidR="004B1BCA">
        <w:t>.</w:t>
      </w:r>
      <w:r w:rsidR="004B1BCA" w:rsidRPr="00E74A46">
        <w:t xml:space="preserve"> </w:t>
      </w:r>
      <w:r w:rsidR="004B1BCA">
        <w:t>L</w:t>
      </w:r>
      <w:r w:rsidR="004B1BCA" w:rsidRPr="00E74A46">
        <w:t xml:space="preserve">es </w:t>
      </w:r>
      <w:r w:rsidRPr="00E74A46">
        <w:t xml:space="preserve">meilleures performances </w:t>
      </w:r>
      <w:r w:rsidR="004B1BCA">
        <w:t>sont</w:t>
      </w:r>
      <w:r w:rsidRPr="00E74A46">
        <w:t xml:space="preserve"> réalisées par la CCR </w:t>
      </w:r>
      <w:r w:rsidRPr="008F4CA8">
        <w:t>(</w:t>
      </w:r>
      <w:r w:rsidR="00E45768" w:rsidRPr="00E45768">
        <w:t>32,7%)</w:t>
      </w:r>
      <w:r w:rsidR="008F4CA8" w:rsidRPr="008F4CA8">
        <w:t>,</w:t>
      </w:r>
      <w:r w:rsidR="008F4CA8">
        <w:t xml:space="preserve"> </w:t>
      </w:r>
      <w:r w:rsidRPr="008F4CA8">
        <w:t xml:space="preserve">la </w:t>
      </w:r>
      <w:r w:rsidR="00CD4086" w:rsidRPr="008F4CA8">
        <w:t xml:space="preserve">CAAR </w:t>
      </w:r>
      <w:r w:rsidR="00E45768" w:rsidRPr="00E45768">
        <w:t>(</w:t>
      </w:r>
      <w:r w:rsidR="008F4CA8" w:rsidRPr="008F4CA8">
        <w:t>15,8%</w:t>
      </w:r>
      <w:r w:rsidR="00E45768" w:rsidRPr="00E45768">
        <w:t>)</w:t>
      </w:r>
      <w:r w:rsidR="008F4CA8">
        <w:t xml:space="preserve"> et la SAA</w:t>
      </w:r>
      <w:r w:rsidR="001E4305">
        <w:t xml:space="preserve"> </w:t>
      </w:r>
      <w:r w:rsidR="008F4CA8">
        <w:t>(15,7%)</w:t>
      </w:r>
      <w:r w:rsidR="004B1BCA" w:rsidRPr="008F4CA8">
        <w:t>.</w:t>
      </w:r>
      <w:r w:rsidR="004B1BCA" w:rsidRPr="00E74A46">
        <w:t xml:space="preserve"> </w:t>
      </w:r>
    </w:p>
    <w:p w:rsidR="000B3618" w:rsidRPr="008D2996" w:rsidRDefault="00E74A46" w:rsidP="000B3618">
      <w:r w:rsidRPr="00E74A46">
        <w:t xml:space="preserve">La CCR, la CAAR, la SAA et la CAAT </w:t>
      </w:r>
      <w:r w:rsidR="007A714B">
        <w:t>sont</w:t>
      </w:r>
      <w:r w:rsidRPr="00E74A46">
        <w:t xml:space="preserve"> les premiers bailleurs de fonds additionnels avec respectivement  9 786 millions,  4 713 millions, 4 689 millions  et 4 222 millions de dinars de placements nouveaux. </w:t>
      </w:r>
    </w:p>
    <w:p w:rsidR="000B3618" w:rsidRPr="008D2996" w:rsidRDefault="00D37356" w:rsidP="000B3618">
      <w:pPr>
        <w:rPr>
          <w:highlight w:val="yellow"/>
        </w:rPr>
      </w:pPr>
      <w:r w:rsidRPr="008D2996">
        <w:object w:dxaOrig="18386" w:dyaOrig="9963">
          <v:shape id="_x0000_i1027" type="#_x0000_t75" style="width:471.75pt;height:348.75pt" o:ole="">
            <v:imagedata r:id="rId55" o:title=""/>
          </v:shape>
          <o:OLEObject Type="Embed" ProgID="Excel.Sheet.12" ShapeID="_x0000_i1027" DrawAspect="Content" ObjectID="_1402320639" r:id="rId56"/>
        </w:object>
      </w:r>
    </w:p>
    <w:p w:rsidR="000B3618" w:rsidRPr="008D2996" w:rsidRDefault="000B3618" w:rsidP="000B3618">
      <w:pPr>
        <w:pStyle w:val="Titre2"/>
        <w:rPr>
          <w:highlight w:val="yellow"/>
        </w:rPr>
      </w:pPr>
    </w:p>
    <w:p w:rsidR="000B3618" w:rsidRPr="008D2996" w:rsidRDefault="00E74A46" w:rsidP="000B3618">
      <w:pPr>
        <w:pStyle w:val="Titre2"/>
      </w:pPr>
      <w:bookmarkStart w:id="476" w:name="_Toc326156016"/>
      <w:bookmarkStart w:id="477" w:name="_Toc327883450"/>
      <w:bookmarkStart w:id="478" w:name="_Toc327883630"/>
      <w:bookmarkStart w:id="479" w:name="_Toc327883976"/>
      <w:bookmarkStart w:id="480" w:name="_Toc327885042"/>
      <w:bookmarkStart w:id="481" w:name="_Toc327885627"/>
      <w:bookmarkStart w:id="482" w:name="_Toc327916554"/>
      <w:r w:rsidRPr="00E74A46">
        <w:t>Rendement des placements</w:t>
      </w:r>
      <w:bookmarkEnd w:id="476"/>
      <w:bookmarkEnd w:id="477"/>
      <w:bookmarkEnd w:id="478"/>
      <w:bookmarkEnd w:id="479"/>
      <w:bookmarkEnd w:id="480"/>
      <w:bookmarkEnd w:id="481"/>
      <w:bookmarkEnd w:id="482"/>
      <w:r w:rsidRPr="00E74A46">
        <w:t> </w:t>
      </w:r>
    </w:p>
    <w:p w:rsidR="000B3618" w:rsidRPr="008D2996" w:rsidRDefault="00E74A46" w:rsidP="000B3618">
      <w:pPr>
        <w:rPr>
          <w:color w:val="000000"/>
        </w:rPr>
      </w:pPr>
      <w:r w:rsidRPr="00E74A46">
        <w:t xml:space="preserve">La contrepartie des placements financiers des sociétés d’assurance marque </w:t>
      </w:r>
      <w:r w:rsidR="00947219" w:rsidRPr="00E74A46">
        <w:t>en 2010</w:t>
      </w:r>
      <w:r w:rsidR="009B540B">
        <w:t>,</w:t>
      </w:r>
      <w:r w:rsidR="00947219">
        <w:t xml:space="preserve"> </w:t>
      </w:r>
      <w:r w:rsidRPr="00E74A46">
        <w:t>une hausse  de 1</w:t>
      </w:r>
      <w:r w:rsidR="000E4DA0">
        <w:t>1,8</w:t>
      </w:r>
      <w:r w:rsidRPr="00E74A46">
        <w:t>% pour se situer à 3</w:t>
      </w:r>
      <w:r w:rsidR="00947219">
        <w:t>,</w:t>
      </w:r>
      <w:r w:rsidRPr="00E74A46">
        <w:t xml:space="preserve">7 </w:t>
      </w:r>
      <w:r w:rsidR="009135A6">
        <w:t>milliard</w:t>
      </w:r>
      <w:r w:rsidRPr="00E74A46">
        <w:t xml:space="preserve"> de dinars contre 3</w:t>
      </w:r>
      <w:r w:rsidR="009B540B">
        <w:t>,</w:t>
      </w:r>
      <w:r w:rsidRPr="00E74A46">
        <w:t xml:space="preserve">3 </w:t>
      </w:r>
      <w:r w:rsidR="009135A6">
        <w:t>milliard</w:t>
      </w:r>
      <w:r w:rsidR="009B540B" w:rsidRPr="00E74A46">
        <w:t xml:space="preserve"> de dinars  </w:t>
      </w:r>
      <w:r w:rsidRPr="00E74A46">
        <w:t>en 2009. Le taux de rendement moyen généré marque une  baisse par rapport à 2009. Il s’établit à  3</w:t>
      </w:r>
      <w:r w:rsidR="000E4DA0">
        <w:t>,0</w:t>
      </w:r>
      <w:r w:rsidRPr="00E74A46">
        <w:t>% en 2010 contre 3</w:t>
      </w:r>
      <w:r w:rsidR="00752E93">
        <w:t>,</w:t>
      </w:r>
      <w:r w:rsidRPr="00E74A46">
        <w:t xml:space="preserve">5% en 2009. </w:t>
      </w:r>
      <w:r w:rsidRPr="00E74A46">
        <w:rPr>
          <w:color w:val="0000FF"/>
          <w:sz w:val="20"/>
          <w:szCs w:val="20"/>
        </w:rPr>
        <w:t>(</w:t>
      </w:r>
      <w:r w:rsidR="009B540B" w:rsidRPr="00E74A46">
        <w:rPr>
          <w:color w:val="0000FF"/>
          <w:sz w:val="20"/>
          <w:szCs w:val="20"/>
        </w:rPr>
        <w:t>Tableau</w:t>
      </w:r>
      <w:r w:rsidRPr="00E74A46">
        <w:rPr>
          <w:color w:val="0000FF"/>
          <w:sz w:val="20"/>
          <w:szCs w:val="20"/>
        </w:rPr>
        <w:t xml:space="preserve"> n° 10.36)</w:t>
      </w:r>
    </w:p>
    <w:p w:rsidR="00EB5BF9" w:rsidRDefault="00FB311C">
      <w:r>
        <w:t>Les</w:t>
      </w:r>
      <w:r w:rsidR="00E74A46" w:rsidRPr="00E74A46">
        <w:t xml:space="preserve"> taux ci-dessus traduisent ceux offerts par la banque</w:t>
      </w:r>
      <w:r w:rsidR="009B540B">
        <w:t xml:space="preserve">, </w:t>
      </w:r>
      <w:r w:rsidR="00E74A46" w:rsidRPr="00E74A46">
        <w:t>le marché financier</w:t>
      </w:r>
      <w:r w:rsidR="009F0ABD">
        <w:t>,</w:t>
      </w:r>
      <w:r w:rsidR="009F0ABD" w:rsidRPr="00E74A46">
        <w:t xml:space="preserve"> </w:t>
      </w:r>
      <w:r w:rsidR="00E74A46" w:rsidRPr="00E74A46">
        <w:t>la combinaison entre les différents placements possibles</w:t>
      </w:r>
      <w:r w:rsidR="009F0ABD">
        <w:t xml:space="preserve"> et leurs </w:t>
      </w:r>
      <w:r w:rsidR="00E74A46" w:rsidRPr="00E74A46">
        <w:t>durée</w:t>
      </w:r>
      <w:r w:rsidR="009F0ABD">
        <w:t>s</w:t>
      </w:r>
      <w:r w:rsidR="00E74A46" w:rsidRPr="00E74A46">
        <w:t xml:space="preserve">. </w:t>
      </w:r>
      <w:r w:rsidR="009F0ABD">
        <w:t>E</w:t>
      </w:r>
      <w:r w:rsidR="00E74A46" w:rsidRPr="00E74A46">
        <w:t xml:space="preserve">n </w:t>
      </w:r>
      <w:r w:rsidR="009F0ABD">
        <w:t>effet,</w:t>
      </w:r>
      <w:r w:rsidR="009F0ABD" w:rsidRPr="00E74A46">
        <w:t xml:space="preserve"> </w:t>
      </w:r>
      <w:r w:rsidR="00E74A46" w:rsidRPr="00E74A46">
        <w:t>le volume des placements e</w:t>
      </w:r>
      <w:r w:rsidR="009F0ABD">
        <w:t>st</w:t>
      </w:r>
      <w:r w:rsidR="00E74A46" w:rsidRPr="00E74A46">
        <w:t xml:space="preserve"> observé en nombre de jours et non pas au seul 31 décembre.</w:t>
      </w:r>
    </w:p>
    <w:p w:rsidR="000B3618" w:rsidRPr="008D2996" w:rsidRDefault="00E74A46" w:rsidP="000B3618">
      <w:pPr>
        <w:pStyle w:val="Titre2"/>
        <w:spacing w:line="240" w:lineRule="auto"/>
      </w:pPr>
      <w:bookmarkStart w:id="483" w:name="_Toc326156017"/>
      <w:bookmarkStart w:id="484" w:name="_Toc327883451"/>
      <w:bookmarkStart w:id="485" w:name="_Toc327883631"/>
      <w:bookmarkStart w:id="486" w:name="_Toc327883977"/>
      <w:bookmarkStart w:id="487" w:name="_Toc327885043"/>
      <w:bookmarkStart w:id="488" w:name="_Toc327885628"/>
      <w:bookmarkStart w:id="489" w:name="_Toc327916555"/>
      <w:r w:rsidRPr="00E74A46">
        <w:t>Contribution des assureurs à l’INVESTISSEMENT</w:t>
      </w:r>
      <w:bookmarkEnd w:id="483"/>
      <w:bookmarkEnd w:id="484"/>
      <w:bookmarkEnd w:id="485"/>
      <w:bookmarkEnd w:id="486"/>
      <w:bookmarkEnd w:id="487"/>
      <w:bookmarkEnd w:id="488"/>
      <w:bookmarkEnd w:id="489"/>
    </w:p>
    <w:p w:rsidR="0034445C" w:rsidRDefault="00E74A46" w:rsidP="000B3618">
      <w:r w:rsidRPr="00E74A46">
        <w:t>La contribution des sociétés d'assurances se mesure par rapport à la formation du capital fixe de la nation ou, en d'autres termes, au financement de l'investissement à travers la part des placements financiers qui lui est consacrée.</w:t>
      </w:r>
    </w:p>
    <w:p w:rsidR="00EB5BF9" w:rsidRDefault="00E74A46">
      <w:r w:rsidRPr="00E74A46">
        <w:t>L'agrégat Accumulation Brute du Fonds Fixe (ABFF)</w:t>
      </w:r>
      <w:r w:rsidR="0034445C">
        <w:t xml:space="preserve"> connait</w:t>
      </w:r>
      <w:r w:rsidRPr="00E74A46">
        <w:t xml:space="preserve">  une augmentation de 14</w:t>
      </w:r>
      <w:r w:rsidR="00FC0D54">
        <w:t>,2</w:t>
      </w:r>
      <w:r w:rsidRPr="00E74A46">
        <w:t>% en 2010</w:t>
      </w:r>
      <w:r w:rsidR="009B540B" w:rsidRPr="00E74A46">
        <w:t>, moins</w:t>
      </w:r>
      <w:r w:rsidRPr="00E74A46">
        <w:t xml:space="preserve"> importante que celle du volume des placements (+3</w:t>
      </w:r>
      <w:r w:rsidR="00FC0D54">
        <w:t>3,7</w:t>
      </w:r>
      <w:r w:rsidRPr="00E74A46">
        <w:t>%), générant en conséquence une hausse de la contribution du secteur des assurances à l'investissement national à 2</w:t>
      </w:r>
      <w:r w:rsidR="009B540B">
        <w:t>,</w:t>
      </w:r>
      <w:r w:rsidRPr="00E74A46">
        <w:t>7% contre 2,3% en 2009. (</w:t>
      </w:r>
      <w:r w:rsidR="0034445C">
        <w:rPr>
          <w:color w:val="0000FF"/>
        </w:rPr>
        <w:t>T</w:t>
      </w:r>
      <w:r w:rsidRPr="00E74A46">
        <w:rPr>
          <w:color w:val="0000FF"/>
        </w:rPr>
        <w:t>ableau n° 10.36</w:t>
      </w:r>
      <w:r w:rsidRPr="00E74A46">
        <w:t>)</w:t>
      </w:r>
    </w:p>
    <w:p w:rsidR="00EB5BF9" w:rsidRDefault="00C01947">
      <w:r>
        <w:t>C</w:t>
      </w:r>
      <w:r w:rsidR="00E45768" w:rsidRPr="00E45768">
        <w:t>omparativement à celle offerte par les marchés étrangers</w:t>
      </w:r>
      <w:r>
        <w:t>,</w:t>
      </w:r>
      <w:r w:rsidR="00E45768" w:rsidRPr="00E45768">
        <w:t xml:space="preserve"> dominés par  les branche vie et capitalisation, la contribution algérienne à l’investissement se veut  modeste. En effet, si les </w:t>
      </w:r>
      <w:r w:rsidR="00E45768" w:rsidRPr="00E45768">
        <w:lastRenderedPageBreak/>
        <w:t>placements des assureurs des autres pays représentent des engagements à longs termes, ceux du secteur algérien sont exigibles à court terme du fait  qu’il soit  dominé par les branches non vie.</w:t>
      </w:r>
    </w:p>
    <w:p w:rsidR="000B3618" w:rsidRPr="008D2996" w:rsidRDefault="00E065EA" w:rsidP="000B3618">
      <w:pPr>
        <w:rPr>
          <w:highlight w:val="yellow"/>
        </w:rPr>
      </w:pPr>
      <w:r w:rsidRPr="008D2996">
        <w:object w:dxaOrig="18510" w:dyaOrig="7965">
          <v:shape id="_x0000_i1028" type="#_x0000_t75" style="width:516.75pt;height:281.25pt" o:ole="">
            <v:imagedata r:id="rId57" o:title=""/>
          </v:shape>
          <o:OLEObject Type="Embed" ProgID="Excel.Sheet.12" ShapeID="_x0000_i1028" DrawAspect="Content" ObjectID="_1402320640" r:id="rId58"/>
        </w:object>
      </w:r>
    </w:p>
    <w:p w:rsidR="000B3618" w:rsidRPr="00FB311C" w:rsidRDefault="00E45768" w:rsidP="000B3618">
      <w:pPr>
        <w:rPr>
          <w:b/>
        </w:rPr>
      </w:pPr>
      <w:r w:rsidRPr="00E45768">
        <w:rPr>
          <w:b/>
        </w:rPr>
        <w:t>Représentation des engagements techniques </w:t>
      </w:r>
    </w:p>
    <w:p w:rsidR="00EB5BF9" w:rsidRPr="00B462ED" w:rsidRDefault="00E74A46">
      <w:pPr>
        <w:spacing w:after="60" w:line="240" w:lineRule="auto"/>
      </w:pPr>
      <w:r w:rsidRPr="00B462ED">
        <w:t>Les sociétés d’assurances et ou de réassurance doivent, à tout moment, être en mesure de justifier l’évaluation des engagements réglementés qu’elles sont tenues de constituer</w:t>
      </w:r>
      <w:r w:rsidR="009F24C8" w:rsidRPr="00B462ED">
        <w:t>.</w:t>
      </w:r>
    </w:p>
    <w:p w:rsidR="00EB5BF9" w:rsidRPr="00B462ED" w:rsidRDefault="009F24C8">
      <w:pPr>
        <w:spacing w:after="60" w:line="240" w:lineRule="auto"/>
      </w:pPr>
      <w:r w:rsidRPr="00B462ED">
        <w:t>C</w:t>
      </w:r>
      <w:r w:rsidR="00E74A46" w:rsidRPr="00B462ED">
        <w:t>es engagements sont :</w:t>
      </w:r>
    </w:p>
    <w:p w:rsidR="003A6049" w:rsidRDefault="00E74A46">
      <w:pPr>
        <w:numPr>
          <w:ilvl w:val="0"/>
          <w:numId w:val="20"/>
        </w:numPr>
        <w:tabs>
          <w:tab w:val="clear" w:pos="360"/>
          <w:tab w:val="num" w:pos="567"/>
        </w:tabs>
        <w:spacing w:after="60" w:line="240" w:lineRule="auto"/>
        <w:ind w:left="567"/>
      </w:pPr>
      <w:r w:rsidRPr="00B462ED">
        <w:t>Les réserves</w:t>
      </w:r>
      <w:r w:rsidR="0066676C" w:rsidRPr="00B462ED">
        <w:t xml:space="preserve"> </w:t>
      </w:r>
      <w:r w:rsidR="006D7F75" w:rsidRPr="00B462ED">
        <w:t>;</w:t>
      </w:r>
    </w:p>
    <w:p w:rsidR="003A6049" w:rsidRDefault="00E74A46">
      <w:pPr>
        <w:numPr>
          <w:ilvl w:val="0"/>
          <w:numId w:val="20"/>
        </w:numPr>
        <w:tabs>
          <w:tab w:val="clear" w:pos="360"/>
          <w:tab w:val="num" w:pos="567"/>
        </w:tabs>
        <w:spacing w:after="60" w:line="240" w:lineRule="auto"/>
        <w:ind w:left="567"/>
      </w:pPr>
      <w:r w:rsidRPr="00B462ED">
        <w:t>Les provisions techniques</w:t>
      </w:r>
      <w:r w:rsidR="006D7F75" w:rsidRPr="00B462ED">
        <w:t>,</w:t>
      </w:r>
      <w:r w:rsidRPr="00B462ED">
        <w:t xml:space="preserve"> constituées essentiellement de la provision de garantie, de la provision pour complément obligatoire aux dettes techniques et de la provision CAT/NAT</w:t>
      </w:r>
      <w:r w:rsidR="006D7F75" w:rsidRPr="00B462ED">
        <w:t> ;</w:t>
      </w:r>
    </w:p>
    <w:p w:rsidR="003A6049" w:rsidRDefault="00E74A46">
      <w:pPr>
        <w:numPr>
          <w:ilvl w:val="0"/>
          <w:numId w:val="20"/>
        </w:numPr>
        <w:tabs>
          <w:tab w:val="clear" w:pos="360"/>
          <w:tab w:val="num" w:pos="567"/>
        </w:tabs>
        <w:spacing w:line="240" w:lineRule="auto"/>
        <w:ind w:left="567" w:hanging="357"/>
      </w:pPr>
      <w:r w:rsidRPr="00B462ED">
        <w:t>Les dettes techniques comprennent les primes non acquises ou les risques en cours pour les assurances dommages, les provisions mathématiques pour les assurances de personnes et les sinistres à payer.</w:t>
      </w:r>
    </w:p>
    <w:p w:rsidR="000B3618" w:rsidRPr="008D2996" w:rsidRDefault="00E74A46" w:rsidP="000B3618">
      <w:r w:rsidRPr="00E74A46">
        <w:t xml:space="preserve">Ces engagements doivent être représentés par les éléments d’actif  qui sont les valeurs d’Etat, les autres valeurs mobilières et titres assimilés, les actifs immobiliers et les autres placements. </w:t>
      </w:r>
    </w:p>
    <w:p w:rsidR="00EB5BF9" w:rsidRDefault="00E74A46">
      <w:pPr>
        <w:rPr>
          <w:color w:val="000000"/>
        </w:rPr>
      </w:pPr>
      <w:r w:rsidRPr="00E74A46">
        <w:t>Le taux de couverture des engagements réglementés du marché par les éléments d’actif est de 118</w:t>
      </w:r>
      <w:r w:rsidR="00B34345">
        <w:t>,1</w:t>
      </w:r>
      <w:r w:rsidRPr="00E74A46">
        <w:t>%. Il dépasse le minimum requis</w:t>
      </w:r>
      <w:r w:rsidR="002F4111">
        <w:t xml:space="preserve"> </w:t>
      </w:r>
      <w:r w:rsidR="0066676C">
        <w:t>(</w:t>
      </w:r>
      <w:r w:rsidR="002F4111">
        <w:t>100%</w:t>
      </w:r>
      <w:r w:rsidR="0066676C">
        <w:t>)</w:t>
      </w:r>
      <w:r w:rsidRPr="00E74A46">
        <w:t>, tandis que la représentation de ces engagements par les valeurs d’Etats</w:t>
      </w:r>
      <w:r w:rsidRPr="00E74A46">
        <w:rPr>
          <w:color w:val="000000"/>
        </w:rPr>
        <w:t xml:space="preserve"> est de 49</w:t>
      </w:r>
      <w:r w:rsidR="00B34345">
        <w:rPr>
          <w:color w:val="000000"/>
        </w:rPr>
        <w:t>,4</w:t>
      </w:r>
      <w:r w:rsidRPr="00E74A46">
        <w:rPr>
          <w:color w:val="000000"/>
        </w:rPr>
        <w:t>% contre 4</w:t>
      </w:r>
      <w:r w:rsidR="00B34345">
        <w:rPr>
          <w:color w:val="000000"/>
        </w:rPr>
        <w:t>4,6</w:t>
      </w:r>
      <w:r w:rsidRPr="00E74A46">
        <w:rPr>
          <w:color w:val="000000"/>
        </w:rPr>
        <w:t>% en 2009, elle est au dessous du minimum réglementaire fixé à 50%</w:t>
      </w:r>
      <w:r w:rsidR="0066676C">
        <w:rPr>
          <w:color w:val="000000"/>
        </w:rPr>
        <w:t>.</w:t>
      </w:r>
    </w:p>
    <w:p w:rsidR="00EB5BF9" w:rsidRDefault="00E74A46">
      <w:pPr>
        <w:keepNext/>
        <w:keepLines/>
        <w:spacing w:after="100" w:afterAutospacing="1"/>
      </w:pPr>
      <w:r w:rsidRPr="00E74A46">
        <w:t xml:space="preserve">Les valeurs d’Etat, privilégiées par la réglementation des assurances, </w:t>
      </w:r>
      <w:r w:rsidR="002F4111">
        <w:t>constituent</w:t>
      </w:r>
      <w:r w:rsidRPr="00E74A46">
        <w:t xml:space="preserve"> 49</w:t>
      </w:r>
      <w:r w:rsidR="00B34345">
        <w:t>,4</w:t>
      </w:r>
      <w:r w:rsidRPr="00E74A46">
        <w:t>% des engagements techniques réglementés des sociétés, avec un montant de 60</w:t>
      </w:r>
      <w:r w:rsidR="009B540B">
        <w:t>,</w:t>
      </w:r>
      <w:r w:rsidRPr="00E74A46">
        <w:t xml:space="preserve">4 </w:t>
      </w:r>
      <w:r w:rsidR="009135A6">
        <w:t>milliard</w:t>
      </w:r>
      <w:r w:rsidRPr="00E74A46">
        <w:t xml:space="preserve"> </w:t>
      </w:r>
      <w:r w:rsidR="0066676C">
        <w:t xml:space="preserve">de DA </w:t>
      </w:r>
      <w:r w:rsidRPr="00E74A46">
        <w:t>en 2010 contre 51</w:t>
      </w:r>
      <w:r w:rsidR="002F4111">
        <w:t>,</w:t>
      </w:r>
      <w:r w:rsidRPr="00E74A46">
        <w:t xml:space="preserve">1 </w:t>
      </w:r>
      <w:r w:rsidR="009135A6">
        <w:t>milliard</w:t>
      </w:r>
      <w:r w:rsidRPr="00E74A46">
        <w:t xml:space="preserve"> de dinars en 2009, soit une croissance de 18</w:t>
      </w:r>
      <w:r w:rsidR="00B34345">
        <w:t>,2</w:t>
      </w:r>
      <w:r w:rsidRPr="00E74A46">
        <w:t>%.</w:t>
      </w:r>
      <w:r w:rsidRPr="00E74A46">
        <w:rPr>
          <w:color w:val="0000FF"/>
        </w:rPr>
        <w:t xml:space="preserve"> </w:t>
      </w:r>
      <w:r>
        <w:rPr>
          <w:color w:val="0000FF"/>
          <w:sz w:val="20"/>
          <w:szCs w:val="20"/>
        </w:rPr>
        <w:t>(</w:t>
      </w:r>
      <w:r w:rsidR="002F4111">
        <w:rPr>
          <w:color w:val="0000FF"/>
          <w:sz w:val="20"/>
          <w:szCs w:val="20"/>
        </w:rPr>
        <w:t>T</w:t>
      </w:r>
      <w:r>
        <w:rPr>
          <w:color w:val="0000FF"/>
          <w:sz w:val="20"/>
          <w:szCs w:val="20"/>
        </w:rPr>
        <w:t xml:space="preserve">ableau n°10.37). </w:t>
      </w:r>
    </w:p>
    <w:p w:rsidR="00EB5BF9" w:rsidRDefault="00E74A46">
      <w:r w:rsidRPr="00E74A46">
        <w:t>Les « Autres placements »</w:t>
      </w:r>
      <w:r w:rsidR="002746D3">
        <w:t>,</w:t>
      </w:r>
      <w:r w:rsidRPr="00E74A46">
        <w:t xml:space="preserve"> </w:t>
      </w:r>
      <w:r w:rsidR="00047DB3">
        <w:t>composés</w:t>
      </w:r>
      <w:r w:rsidRPr="00E74A46">
        <w:t xml:space="preserve"> des dépôts à terme</w:t>
      </w:r>
      <w:r w:rsidR="002746D3">
        <w:t>,</w:t>
      </w:r>
      <w:r w:rsidRPr="00E74A46">
        <w:t xml:space="preserve"> conn</w:t>
      </w:r>
      <w:r w:rsidR="002F4111">
        <w:t>aissent</w:t>
      </w:r>
      <w:r w:rsidRPr="00E74A46">
        <w:t xml:space="preserve"> en 2010 une hausse de </w:t>
      </w:r>
      <w:r w:rsidR="00B34345">
        <w:t>49,9</w:t>
      </w:r>
      <w:r w:rsidRPr="00E74A46">
        <w:t xml:space="preserve">% et </w:t>
      </w:r>
      <w:r w:rsidR="00047DB3" w:rsidRPr="00E74A46">
        <w:t xml:space="preserve"> </w:t>
      </w:r>
      <w:r w:rsidR="00B34345">
        <w:t>40,8</w:t>
      </w:r>
      <w:r w:rsidRPr="00E74A46">
        <w:t>% des valeurs représentatives contre 29</w:t>
      </w:r>
      <w:r w:rsidR="00B34345">
        <w:t>,0</w:t>
      </w:r>
      <w:r w:rsidRPr="00E74A46">
        <w:t xml:space="preserve">% en 2009. </w:t>
      </w:r>
    </w:p>
    <w:p w:rsidR="00EB5BF9" w:rsidRDefault="00E74A46">
      <w:r w:rsidRPr="00E74A46">
        <w:lastRenderedPageBreak/>
        <w:t>Les « valeurs mobilières » enregistrent une hausse de 38</w:t>
      </w:r>
      <w:r w:rsidR="00B34345">
        <w:t>,0</w:t>
      </w:r>
      <w:r w:rsidRPr="00E74A46">
        <w:t xml:space="preserve">% </w:t>
      </w:r>
      <w:r w:rsidR="002746D3">
        <w:t>(</w:t>
      </w:r>
      <w:r w:rsidRPr="00E74A46">
        <w:t>+4</w:t>
      </w:r>
      <w:r w:rsidR="00B34345">
        <w:t>,0</w:t>
      </w:r>
      <w:r w:rsidRPr="00E74A46">
        <w:t xml:space="preserve">% </w:t>
      </w:r>
      <w:r w:rsidR="002746D3">
        <w:t>en 2009)</w:t>
      </w:r>
      <w:r w:rsidRPr="00E74A46">
        <w:t xml:space="preserve"> avec une structure de </w:t>
      </w:r>
      <w:r w:rsidR="00B34345">
        <w:t>11,0</w:t>
      </w:r>
      <w:r w:rsidRPr="00E74A46">
        <w:t xml:space="preserve">% des valeurs représentatives </w:t>
      </w:r>
      <w:r w:rsidR="00B34345">
        <w:t>(</w:t>
      </w:r>
      <w:r w:rsidR="00B34345" w:rsidRPr="00E74A46">
        <w:t>8,8</w:t>
      </w:r>
      <w:r w:rsidRPr="00E74A46">
        <w:t>% en 2009</w:t>
      </w:r>
      <w:r w:rsidR="002746D3">
        <w:t>)</w:t>
      </w:r>
      <w:r w:rsidRPr="00E74A46">
        <w:t>.</w:t>
      </w:r>
    </w:p>
    <w:p w:rsidR="00EB5BF9" w:rsidRDefault="00E74A46">
      <w:r w:rsidRPr="00E74A46">
        <w:t>Les placements en «actifs immobiliers » qui ont connu une augmentation de 1</w:t>
      </w:r>
      <w:r w:rsidR="009B540B">
        <w:t>,</w:t>
      </w:r>
      <w:r w:rsidRPr="00E74A46">
        <w:t>2% en 2009, enregistr</w:t>
      </w:r>
      <w:r w:rsidR="002F4111">
        <w:t>ent</w:t>
      </w:r>
      <w:r w:rsidRPr="00E74A46">
        <w:t xml:space="preserve"> en 2010</w:t>
      </w:r>
      <w:r w:rsidR="002F4111">
        <w:t>,</w:t>
      </w:r>
      <w:r w:rsidRPr="00E74A46">
        <w:t xml:space="preserve"> une baisse de 3</w:t>
      </w:r>
      <w:r w:rsidR="00B34345">
        <w:t>,4</w:t>
      </w:r>
      <w:r w:rsidR="00802C5C" w:rsidRPr="00E74A46">
        <w:t>%.</w:t>
      </w:r>
      <w:r w:rsidR="00802C5C">
        <w:t>Ils</w:t>
      </w:r>
      <w:r w:rsidR="00047DB3">
        <w:t xml:space="preserve"> </w:t>
      </w:r>
      <w:r w:rsidRPr="00E74A46">
        <w:t xml:space="preserve"> </w:t>
      </w:r>
      <w:r w:rsidR="00047DB3">
        <w:t>constituent</w:t>
      </w:r>
      <w:r w:rsidR="00047DB3" w:rsidRPr="00E74A46">
        <w:t xml:space="preserve"> </w:t>
      </w:r>
      <w:r w:rsidRPr="00E74A46">
        <w:t>1</w:t>
      </w:r>
      <w:r w:rsidR="00837EE6">
        <w:t>6,9</w:t>
      </w:r>
      <w:r w:rsidRPr="00E74A46">
        <w:t>% des valeurs représentatives contre 18</w:t>
      </w:r>
      <w:r w:rsidR="00837EE6">
        <w:t>,6</w:t>
      </w:r>
      <w:r w:rsidRPr="00E74A46">
        <w:t xml:space="preserve"> % en 2009.</w:t>
      </w:r>
    </w:p>
    <w:p w:rsidR="000B3618" w:rsidRPr="008D2996" w:rsidRDefault="00E74A46" w:rsidP="000B3618">
      <w:pPr>
        <w:pStyle w:val="Paragraphedeliste"/>
        <w:spacing w:line="240" w:lineRule="auto"/>
        <w:ind w:left="360"/>
        <w:rPr>
          <w:rFonts w:ascii="Trebuchet MS" w:hAnsi="Trebuchet MS"/>
          <w:color w:val="000000"/>
        </w:rPr>
      </w:pPr>
      <w:r w:rsidRPr="00E74A46">
        <w:rPr>
          <w:rFonts w:ascii="Trebuchet MS" w:hAnsi="Trebuchet MS"/>
          <w:noProof/>
        </w:rPr>
        <w:t>-</w:t>
      </w:r>
      <w:r w:rsidRPr="00E74A46">
        <w:rPr>
          <w:rFonts w:ascii="Trebuchet MS" w:hAnsi="Trebuchet MS"/>
          <w:color w:val="000000"/>
        </w:rPr>
        <w:t xml:space="preserve">Les valeurs d’Etat comprennent les Bons du Trésor </w:t>
      </w:r>
    </w:p>
    <w:p w:rsidR="000B3618" w:rsidRPr="008D2996" w:rsidRDefault="00E74A46" w:rsidP="000B3618">
      <w:pPr>
        <w:spacing w:before="120" w:line="240" w:lineRule="auto"/>
        <w:ind w:left="357"/>
        <w:jc w:val="left"/>
        <w:rPr>
          <w:color w:val="000000"/>
        </w:rPr>
      </w:pPr>
      <w:r w:rsidRPr="00E74A46">
        <w:rPr>
          <w:color w:val="000000"/>
        </w:rPr>
        <w:t>-Les valeurs mobilières comprennent les actions détenues sur des entreprises d’assurance et de réassurance ou des entreprises commerciales et industrielles.</w:t>
      </w:r>
    </w:p>
    <w:p w:rsidR="000B3618" w:rsidRPr="008D2996" w:rsidRDefault="00E74A46" w:rsidP="000B3618">
      <w:pPr>
        <w:spacing w:before="120" w:line="240" w:lineRule="auto"/>
        <w:ind w:left="357"/>
        <w:jc w:val="left"/>
        <w:rPr>
          <w:color w:val="000000"/>
        </w:rPr>
      </w:pPr>
      <w:r w:rsidRPr="00E74A46">
        <w:rPr>
          <w:color w:val="000000"/>
        </w:rPr>
        <w:t xml:space="preserve">-Les autres placements financiers sont constitués par </w:t>
      </w:r>
      <w:r w:rsidR="00E45768" w:rsidRPr="00E45768">
        <w:rPr>
          <w:color w:val="000000"/>
        </w:rPr>
        <w:t xml:space="preserve">les dépôts à termes et </w:t>
      </w:r>
      <w:r w:rsidR="00FB311C" w:rsidRPr="00A91F7D">
        <w:rPr>
          <w:color w:val="000000"/>
        </w:rPr>
        <w:t xml:space="preserve">obligations. </w:t>
      </w:r>
    </w:p>
    <w:p w:rsidR="000B3618" w:rsidRPr="008D2996" w:rsidRDefault="00E74A46" w:rsidP="000B3618">
      <w:pPr>
        <w:spacing w:before="120" w:line="240" w:lineRule="auto"/>
        <w:ind w:left="357"/>
        <w:jc w:val="left"/>
      </w:pPr>
      <w:r w:rsidRPr="00E74A46">
        <w:rPr>
          <w:color w:val="000000"/>
        </w:rPr>
        <w:t>-Les actifs immobiliers comprennent les investissements effectués dans l’immobilier.</w:t>
      </w:r>
    </w:p>
    <w:p w:rsidR="00D3432D" w:rsidRPr="008D2996" w:rsidRDefault="00D3432D" w:rsidP="00D3432D">
      <w:pPr>
        <w:spacing w:after="0" w:line="240" w:lineRule="auto"/>
        <w:ind w:left="360"/>
        <w:rPr>
          <w:color w:val="000000"/>
          <w:sz w:val="16"/>
          <w:szCs w:val="16"/>
          <w:highlight w:val="yellow"/>
        </w:rPr>
      </w:pPr>
      <w:bookmarkStart w:id="490" w:name="_Toc496869967"/>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E47D96" w:rsidRPr="008D2996" w:rsidRDefault="00B34345" w:rsidP="00DB495F">
      <w:pPr>
        <w:spacing w:after="0" w:line="240" w:lineRule="auto"/>
        <w:rPr>
          <w:rStyle w:val="Titre1Car1"/>
          <w:color w:val="000000"/>
          <w:sz w:val="16"/>
          <w:szCs w:val="16"/>
        </w:rPr>
        <w:sectPr w:rsidR="00E47D96" w:rsidRPr="008D2996" w:rsidSect="00897A9E">
          <w:footnotePr>
            <w:numRestart w:val="eachPage"/>
          </w:footnotePr>
          <w:pgSz w:w="11906" w:h="16838" w:code="9"/>
          <w:pgMar w:top="1871" w:right="1134" w:bottom="1304" w:left="1134" w:header="709" w:footer="709" w:gutter="0"/>
          <w:cols w:space="708"/>
          <w:docGrid w:linePitch="360"/>
        </w:sectPr>
      </w:pPr>
      <w:r w:rsidRPr="00B34345">
        <w:rPr>
          <w:noProof/>
          <w:szCs w:val="16"/>
        </w:rPr>
        <w:drawing>
          <wp:inline distT="0" distB="0" distL="0" distR="0">
            <wp:extent cx="5638800" cy="3514725"/>
            <wp:effectExtent l="19050" t="0" r="0" b="0"/>
            <wp:docPr id="6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638800" cy="3514725"/>
                    </a:xfrm>
                    <a:prstGeom prst="rect">
                      <a:avLst/>
                    </a:prstGeom>
                    <a:noFill/>
                    <a:ln w="9525">
                      <a:noFill/>
                      <a:miter lim="800000"/>
                      <a:headEnd/>
                      <a:tailEnd/>
                    </a:ln>
                  </pic:spPr>
                </pic:pic>
              </a:graphicData>
            </a:graphic>
          </wp:inline>
        </w:drawing>
      </w:r>
    </w:p>
    <w:p w:rsidR="00E47D96" w:rsidRPr="008D2996" w:rsidRDefault="0060275F" w:rsidP="0060275F">
      <w:pPr>
        <w:pStyle w:val="Titre1"/>
        <w:rPr>
          <w:rStyle w:val="Titre1Car1"/>
          <w:color w:val="000000"/>
        </w:rPr>
      </w:pPr>
      <w:bookmarkStart w:id="491" w:name="_Toc496869971"/>
      <w:bookmarkStart w:id="492" w:name="_Toc25906421"/>
      <w:bookmarkStart w:id="493" w:name="_Toc71847755"/>
      <w:bookmarkStart w:id="494" w:name="_Toc71851609"/>
      <w:bookmarkStart w:id="495" w:name="_Toc71851726"/>
      <w:bookmarkStart w:id="496" w:name="_Toc74188942"/>
      <w:bookmarkStart w:id="497" w:name="_Toc74189046"/>
      <w:bookmarkStart w:id="498" w:name="_Toc74189226"/>
      <w:bookmarkStart w:id="499" w:name="_Toc74189345"/>
      <w:bookmarkStart w:id="500" w:name="_Toc74189542"/>
      <w:bookmarkStart w:id="501" w:name="_Toc327916556"/>
      <w:bookmarkEnd w:id="490"/>
      <w:r>
        <w:rPr>
          <w:rStyle w:val="Titre1Car1"/>
          <w:color w:val="000000"/>
        </w:rPr>
        <w:lastRenderedPageBreak/>
        <w:t>FRAIS DE GESTION</w:t>
      </w:r>
      <w:bookmarkEnd w:id="491"/>
      <w:bookmarkEnd w:id="492"/>
      <w:bookmarkEnd w:id="493"/>
      <w:bookmarkEnd w:id="494"/>
      <w:bookmarkEnd w:id="495"/>
      <w:bookmarkEnd w:id="496"/>
      <w:bookmarkEnd w:id="497"/>
      <w:bookmarkEnd w:id="498"/>
      <w:bookmarkEnd w:id="499"/>
      <w:bookmarkEnd w:id="500"/>
      <w:bookmarkEnd w:id="501"/>
    </w:p>
    <w:p w:rsidR="00EB5BF9" w:rsidRDefault="00E74A46">
      <w:pPr>
        <w:rPr>
          <w:color w:val="0000FF"/>
        </w:rPr>
      </w:pPr>
      <w:r w:rsidRPr="00E74A46">
        <w:t xml:space="preserve">Les frais </w:t>
      </w:r>
      <w:r w:rsidR="00CE5872" w:rsidRPr="00E74A46">
        <w:t>généraux</w:t>
      </w:r>
      <w:r w:rsidR="00CE5872">
        <w:t xml:space="preserve"> (y compris les dotations aux amortissements</w:t>
      </w:r>
      <w:r w:rsidR="00502EF6">
        <w:t xml:space="preserve">, </w:t>
      </w:r>
      <w:r w:rsidR="00CE5872">
        <w:t>provisions</w:t>
      </w:r>
      <w:r w:rsidR="00502EF6">
        <w:t xml:space="preserve"> et perte de valeurs</w:t>
      </w:r>
      <w:r w:rsidR="00CE5872">
        <w:t>)</w:t>
      </w:r>
      <w:r w:rsidRPr="00E74A46">
        <w:t xml:space="preserve"> des sociétés d'assurances </w:t>
      </w:r>
      <w:r w:rsidR="00CE5872">
        <w:t>s’</w:t>
      </w:r>
      <w:r w:rsidR="00B95F23" w:rsidRPr="00E74A46">
        <w:t>élèvent</w:t>
      </w:r>
      <w:r w:rsidRPr="00E74A46">
        <w:t xml:space="preserve"> à 25,</w:t>
      </w:r>
      <w:r w:rsidR="00730A41">
        <w:t>2</w:t>
      </w:r>
      <w:r w:rsidR="00730A41" w:rsidRPr="00E74A46">
        <w:t xml:space="preserve"> </w:t>
      </w:r>
      <w:r w:rsidR="009135A6">
        <w:t>milliard</w:t>
      </w:r>
      <w:r w:rsidRPr="00E74A46">
        <w:t xml:space="preserve"> de dinars en 2010 contre 26,</w:t>
      </w:r>
      <w:r w:rsidR="00730A41">
        <w:t>2</w:t>
      </w:r>
      <w:r w:rsidR="00730A41" w:rsidRPr="00E74A46">
        <w:t xml:space="preserve"> </w:t>
      </w:r>
      <w:r w:rsidR="009135A6">
        <w:t>milliard</w:t>
      </w:r>
      <w:r w:rsidRPr="00E74A46">
        <w:t xml:space="preserve"> de dinars l’année </w:t>
      </w:r>
      <w:r w:rsidR="00CE5872">
        <w:t>précédente</w:t>
      </w:r>
      <w:r w:rsidRPr="00E74A46">
        <w:t xml:space="preserve">, soit une baisse de </w:t>
      </w:r>
      <w:r w:rsidR="00A91F7D">
        <w:t>3,9</w:t>
      </w:r>
      <w:r w:rsidRPr="00E74A46">
        <w:t xml:space="preserve">% </w:t>
      </w:r>
      <w:r w:rsidRPr="00E74A46">
        <w:rPr>
          <w:color w:val="0000FF"/>
          <w:sz w:val="20"/>
        </w:rPr>
        <w:t>(</w:t>
      </w:r>
      <w:r w:rsidR="00CE5872">
        <w:rPr>
          <w:color w:val="0000FF"/>
          <w:sz w:val="20"/>
        </w:rPr>
        <w:t>T</w:t>
      </w:r>
      <w:r w:rsidRPr="00E74A46">
        <w:rPr>
          <w:color w:val="0000FF"/>
          <w:sz w:val="20"/>
        </w:rPr>
        <w:t>ableau n°10.39)</w:t>
      </w:r>
      <w:r w:rsidRPr="00E74A46">
        <w:rPr>
          <w:color w:val="0000FF"/>
        </w:rPr>
        <w:t>.</w:t>
      </w:r>
    </w:p>
    <w:p w:rsidR="00B627AA" w:rsidRPr="008D2996" w:rsidRDefault="00E74A46" w:rsidP="00B627AA">
      <w:r w:rsidRPr="00E74A46">
        <w:t>La production (hors CCR) ayant connu une évolution de (</w:t>
      </w:r>
      <w:r w:rsidR="00A91F7D">
        <w:t>4,4</w:t>
      </w:r>
      <w:r w:rsidRPr="00E74A46">
        <w:t xml:space="preserve">%), le poids des frais généraux </w:t>
      </w:r>
      <w:r w:rsidR="00B95F23">
        <w:t>s’en</w:t>
      </w:r>
      <w:r w:rsidR="00B95F23" w:rsidRPr="00E74A46">
        <w:t xml:space="preserve"> </w:t>
      </w:r>
      <w:r w:rsidRPr="00E74A46">
        <w:t>trouv</w:t>
      </w:r>
      <w:r w:rsidR="00B95F23">
        <w:t>e</w:t>
      </w:r>
      <w:r w:rsidRPr="00E74A46">
        <w:t xml:space="preserve"> </w:t>
      </w:r>
      <w:r w:rsidR="00B95F23">
        <w:t>allégé</w:t>
      </w:r>
      <w:r w:rsidRPr="00E74A46">
        <w:t xml:space="preserve"> pour représenter </w:t>
      </w:r>
      <w:r w:rsidR="00D92F12">
        <w:t>29,8</w:t>
      </w:r>
      <w:r w:rsidRPr="00E74A46">
        <w:t xml:space="preserve">% contre </w:t>
      </w:r>
      <w:r w:rsidR="00D92F12" w:rsidRPr="00D92F12">
        <w:rPr>
          <w:rFonts w:cs="Arial"/>
          <w:szCs w:val="18"/>
        </w:rPr>
        <w:t>31,9%</w:t>
      </w:r>
      <w:r w:rsidRPr="00D92F12">
        <w:rPr>
          <w:sz w:val="28"/>
        </w:rPr>
        <w:t xml:space="preserve"> </w:t>
      </w:r>
      <w:r w:rsidRPr="00E74A46">
        <w:t>en 2009</w:t>
      </w:r>
      <w:r w:rsidRPr="00E74A46">
        <w:rPr>
          <w:color w:val="0000FF"/>
          <w:sz w:val="20"/>
        </w:rPr>
        <w:t>(voir tableau n°10.38)</w:t>
      </w:r>
      <w:r w:rsidRPr="00E74A46">
        <w:rPr>
          <w:color w:val="0000FF"/>
        </w:rPr>
        <w:t>.</w:t>
      </w:r>
      <w:r w:rsidRPr="00E74A46">
        <w:t xml:space="preserve"> </w:t>
      </w:r>
    </w:p>
    <w:p w:rsidR="00B627AA" w:rsidRPr="008D2996" w:rsidRDefault="00B627AA" w:rsidP="00B627AA"/>
    <w:tbl>
      <w:tblPr>
        <w:tblW w:w="9736" w:type="dxa"/>
        <w:tblInd w:w="70" w:type="dxa"/>
        <w:tblLayout w:type="fixed"/>
        <w:tblCellMar>
          <w:left w:w="70" w:type="dxa"/>
          <w:right w:w="70" w:type="dxa"/>
        </w:tblCellMar>
        <w:tblLook w:val="04A0"/>
      </w:tblPr>
      <w:tblGrid>
        <w:gridCol w:w="1323"/>
        <w:gridCol w:w="575"/>
        <w:gridCol w:w="494"/>
        <w:gridCol w:w="468"/>
        <w:gridCol w:w="729"/>
        <w:gridCol w:w="643"/>
        <w:gridCol w:w="393"/>
        <w:gridCol w:w="313"/>
        <w:gridCol w:w="469"/>
        <w:gridCol w:w="160"/>
        <w:gridCol w:w="160"/>
        <w:gridCol w:w="160"/>
        <w:gridCol w:w="160"/>
        <w:gridCol w:w="160"/>
        <w:gridCol w:w="160"/>
        <w:gridCol w:w="160"/>
        <w:gridCol w:w="160"/>
        <w:gridCol w:w="160"/>
        <w:gridCol w:w="160"/>
        <w:gridCol w:w="160"/>
        <w:gridCol w:w="160"/>
        <w:gridCol w:w="160"/>
        <w:gridCol w:w="160"/>
        <w:gridCol w:w="160"/>
        <w:gridCol w:w="160"/>
        <w:gridCol w:w="126"/>
        <w:gridCol w:w="34"/>
        <w:gridCol w:w="160"/>
        <w:gridCol w:w="160"/>
        <w:gridCol w:w="160"/>
        <w:gridCol w:w="160"/>
        <w:gridCol w:w="160"/>
        <w:gridCol w:w="117"/>
        <w:gridCol w:w="57"/>
        <w:gridCol w:w="126"/>
        <w:gridCol w:w="34"/>
        <w:gridCol w:w="126"/>
        <w:gridCol w:w="34"/>
        <w:gridCol w:w="126"/>
        <w:gridCol w:w="33"/>
        <w:gridCol w:w="54"/>
        <w:gridCol w:w="74"/>
        <w:gridCol w:w="28"/>
      </w:tblGrid>
      <w:tr w:rsidR="00B627AA" w:rsidRPr="008D2996" w:rsidTr="00A91F7D">
        <w:trPr>
          <w:gridAfter w:val="2"/>
          <w:wAfter w:w="97" w:type="dxa"/>
          <w:trHeight w:val="285"/>
        </w:trPr>
        <w:tc>
          <w:tcPr>
            <w:tcW w:w="1418" w:type="dxa"/>
            <w:tcBorders>
              <w:top w:val="nil"/>
              <w:left w:val="nil"/>
              <w:bottom w:val="nil"/>
              <w:right w:val="nil"/>
            </w:tcBorders>
            <w:shd w:val="clear" w:color="auto" w:fill="auto"/>
            <w:noWrap/>
            <w:vAlign w:val="center"/>
            <w:hideMark/>
          </w:tcPr>
          <w:p w:rsidR="00B627AA" w:rsidRPr="00A91F7D" w:rsidRDefault="00E74A46" w:rsidP="00583537">
            <w:pPr>
              <w:spacing w:after="0" w:line="240" w:lineRule="auto"/>
              <w:jc w:val="left"/>
              <w:rPr>
                <w:rFonts w:cs="Arial"/>
                <w:sz w:val="16"/>
                <w:szCs w:val="18"/>
              </w:rPr>
            </w:pPr>
            <w:r w:rsidRPr="00A91F7D">
              <w:rPr>
                <w:rFonts w:cs="Arial"/>
                <w:sz w:val="16"/>
                <w:szCs w:val="18"/>
              </w:rPr>
              <w:t>Tableau n° 10.38</w:t>
            </w:r>
          </w:p>
        </w:tc>
        <w:tc>
          <w:tcPr>
            <w:tcW w:w="608" w:type="dxa"/>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027"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775" w:type="dxa"/>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682" w:type="dxa"/>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750"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4379" w:type="dxa"/>
            <w:gridSpan w:val="33"/>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r>
      <w:tr w:rsidR="00B627AA" w:rsidRPr="008D2996" w:rsidTr="00A91F7D">
        <w:trPr>
          <w:gridAfter w:val="2"/>
          <w:wAfter w:w="97" w:type="dxa"/>
          <w:trHeight w:val="495"/>
        </w:trPr>
        <w:tc>
          <w:tcPr>
            <w:tcW w:w="1418" w:type="dxa"/>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8221" w:type="dxa"/>
            <w:gridSpan w:val="40"/>
            <w:tcBorders>
              <w:top w:val="nil"/>
              <w:left w:val="nil"/>
              <w:bottom w:val="single" w:sz="4" w:space="0" w:color="auto"/>
              <w:right w:val="nil"/>
            </w:tcBorders>
            <w:shd w:val="clear" w:color="auto" w:fill="auto"/>
            <w:noWrap/>
            <w:vAlign w:val="center"/>
            <w:hideMark/>
          </w:tcPr>
          <w:p w:rsidR="00B627AA" w:rsidRPr="008D2996" w:rsidRDefault="00E74A46" w:rsidP="00583537">
            <w:pPr>
              <w:spacing w:after="0" w:line="240" w:lineRule="auto"/>
              <w:jc w:val="center"/>
              <w:rPr>
                <w:rFonts w:cs="Arial"/>
                <w:b/>
                <w:bCs/>
                <w:sz w:val="18"/>
                <w:szCs w:val="18"/>
              </w:rPr>
            </w:pPr>
            <w:r w:rsidRPr="00A91F7D">
              <w:rPr>
                <w:rFonts w:cs="Arial"/>
                <w:b/>
                <w:bCs/>
                <w:sz w:val="16"/>
                <w:szCs w:val="18"/>
              </w:rPr>
              <w:t>EVOLUTION DU POIDS DES CHARGES *</w:t>
            </w:r>
          </w:p>
        </w:tc>
      </w:tr>
      <w:tr w:rsidR="00B627AA" w:rsidRPr="008D2996" w:rsidTr="00A91F7D">
        <w:trPr>
          <w:gridAfter w:val="2"/>
          <w:wAfter w:w="97" w:type="dxa"/>
          <w:trHeight w:val="615"/>
        </w:trPr>
        <w:tc>
          <w:tcPr>
            <w:tcW w:w="1418" w:type="dxa"/>
            <w:tcBorders>
              <w:top w:val="nil"/>
              <w:left w:val="nil"/>
              <w:bottom w:val="nil"/>
              <w:right w:val="single" w:sz="4" w:space="0" w:color="auto"/>
            </w:tcBorders>
            <w:shd w:val="clear" w:color="auto" w:fill="auto"/>
            <w:noWrap/>
            <w:vAlign w:val="bottom"/>
            <w:hideMark/>
          </w:tcPr>
          <w:p w:rsidR="00B627AA" w:rsidRPr="008D2996" w:rsidRDefault="00E74A46" w:rsidP="00583537">
            <w:pPr>
              <w:spacing w:after="0" w:line="240" w:lineRule="auto"/>
              <w:jc w:val="left"/>
              <w:rPr>
                <w:rFonts w:cs="Arial"/>
                <w:sz w:val="18"/>
                <w:szCs w:val="18"/>
              </w:rPr>
            </w:pPr>
            <w:r w:rsidRPr="00E74A46">
              <w:rPr>
                <w:rFonts w:cs="Arial"/>
                <w:sz w:val="18"/>
                <w:szCs w:val="18"/>
              </w:rPr>
              <w:t> </w:t>
            </w:r>
          </w:p>
        </w:tc>
        <w:tc>
          <w:tcPr>
            <w:tcW w:w="3508" w:type="dxa"/>
            <w:gridSpan w:val="6"/>
            <w:tcBorders>
              <w:top w:val="single" w:sz="4" w:space="0" w:color="auto"/>
              <w:left w:val="nil"/>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2009</w:t>
            </w:r>
          </w:p>
        </w:tc>
        <w:tc>
          <w:tcPr>
            <w:tcW w:w="4713" w:type="dxa"/>
            <w:gridSpan w:val="34"/>
            <w:tcBorders>
              <w:top w:val="single" w:sz="4" w:space="0" w:color="auto"/>
              <w:left w:val="nil"/>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2010</w:t>
            </w:r>
          </w:p>
        </w:tc>
      </w:tr>
      <w:tr w:rsidR="00B627AA" w:rsidRPr="008D2996" w:rsidTr="00A91F7D">
        <w:trPr>
          <w:gridAfter w:val="2"/>
          <w:wAfter w:w="97" w:type="dxa"/>
          <w:trHeight w:val="82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b/>
                <w:bCs/>
              </w:rPr>
            </w:pPr>
            <w:r w:rsidRPr="00E74A46">
              <w:rPr>
                <w:rFonts w:cs="Arial"/>
                <w:b/>
                <w:bCs/>
              </w:rPr>
              <w:t>CHARGES</w:t>
            </w:r>
          </w:p>
        </w:tc>
        <w:tc>
          <w:tcPr>
            <w:tcW w:w="1134" w:type="dxa"/>
            <w:gridSpan w:val="2"/>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 xml:space="preserve">Montant </w:t>
            </w:r>
            <w:r w:rsidRPr="00E74A46">
              <w:rPr>
                <w:rFonts w:cs="Arial"/>
                <w:sz w:val="18"/>
                <w:szCs w:val="18"/>
              </w:rPr>
              <w:br/>
              <w:t>en millions de dinars</w:t>
            </w:r>
          </w:p>
        </w:tc>
        <w:tc>
          <w:tcPr>
            <w:tcW w:w="1276" w:type="dxa"/>
            <w:gridSpan w:val="2"/>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En % de la</w:t>
            </w:r>
            <w:r w:rsidRPr="00E74A46">
              <w:rPr>
                <w:rFonts w:cs="Arial"/>
                <w:sz w:val="18"/>
                <w:szCs w:val="18"/>
              </w:rPr>
              <w:br/>
              <w:t xml:space="preserve"> production</w:t>
            </w:r>
          </w:p>
        </w:tc>
        <w:tc>
          <w:tcPr>
            <w:tcW w:w="1098" w:type="dxa"/>
            <w:gridSpan w:val="2"/>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Evolution</w:t>
            </w:r>
            <w:r w:rsidRPr="00E74A46">
              <w:rPr>
                <w:rFonts w:cs="Arial"/>
                <w:sz w:val="18"/>
                <w:szCs w:val="18"/>
              </w:rPr>
              <w:br/>
              <w:t>en %</w:t>
            </w:r>
          </w:p>
        </w:tc>
        <w:tc>
          <w:tcPr>
            <w:tcW w:w="1570" w:type="dxa"/>
            <w:gridSpan w:val="7"/>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 xml:space="preserve">Montant </w:t>
            </w:r>
            <w:r w:rsidRPr="00E74A46">
              <w:rPr>
                <w:rFonts w:cs="Arial"/>
                <w:sz w:val="18"/>
                <w:szCs w:val="18"/>
              </w:rPr>
              <w:br/>
              <w:t>en millions de dinars</w:t>
            </w:r>
          </w:p>
        </w:tc>
        <w:tc>
          <w:tcPr>
            <w:tcW w:w="1752" w:type="dxa"/>
            <w:gridSpan w:val="12"/>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En % de la</w:t>
            </w:r>
            <w:r w:rsidRPr="00E74A46">
              <w:rPr>
                <w:rFonts w:cs="Arial"/>
                <w:sz w:val="18"/>
                <w:szCs w:val="18"/>
              </w:rPr>
              <w:br/>
              <w:t xml:space="preserve"> production</w:t>
            </w:r>
          </w:p>
        </w:tc>
        <w:tc>
          <w:tcPr>
            <w:tcW w:w="1391" w:type="dxa"/>
            <w:gridSpan w:val="15"/>
            <w:tcBorders>
              <w:top w:val="nil"/>
              <w:left w:val="nil"/>
              <w:bottom w:val="single" w:sz="4" w:space="0" w:color="auto"/>
              <w:right w:val="single" w:sz="4" w:space="0" w:color="auto"/>
            </w:tcBorders>
            <w:shd w:val="clear" w:color="auto" w:fill="auto"/>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Evolution</w:t>
            </w:r>
            <w:r w:rsidRPr="00E74A46">
              <w:rPr>
                <w:rFonts w:cs="Arial"/>
                <w:sz w:val="18"/>
                <w:szCs w:val="18"/>
              </w:rPr>
              <w:br/>
              <w:t>en %</w:t>
            </w:r>
          </w:p>
        </w:tc>
      </w:tr>
      <w:tr w:rsidR="00B627AA" w:rsidRPr="008D2996" w:rsidTr="00A91F7D">
        <w:trPr>
          <w:gridAfter w:val="2"/>
          <w:wAfter w:w="97" w:type="dxa"/>
          <w:trHeight w:val="7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627AA" w:rsidRPr="008D2996" w:rsidRDefault="00B627AA" w:rsidP="00583537">
            <w:pPr>
              <w:keepNext/>
              <w:spacing w:before="240" w:after="0" w:line="240" w:lineRule="auto"/>
              <w:jc w:val="left"/>
              <w:outlineLvl w:val="0"/>
              <w:rPr>
                <w:rFonts w:cs="Arial"/>
                <w:b/>
                <w:bC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26 177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31,9%</w:t>
            </w:r>
          </w:p>
        </w:tc>
        <w:tc>
          <w:tcPr>
            <w:tcW w:w="1098" w:type="dxa"/>
            <w:gridSpan w:val="2"/>
            <w:tcBorders>
              <w:top w:val="nil"/>
              <w:left w:val="nil"/>
              <w:bottom w:val="single" w:sz="4" w:space="0" w:color="auto"/>
              <w:right w:val="single" w:sz="4" w:space="0" w:color="auto"/>
            </w:tcBorders>
            <w:shd w:val="clear" w:color="auto" w:fill="auto"/>
            <w:noWrap/>
            <w:vAlign w:val="center"/>
            <w:hideMark/>
          </w:tcPr>
          <w:p w:rsidR="00D45F13" w:rsidRDefault="00E74A46">
            <w:pPr>
              <w:spacing w:after="0" w:line="240" w:lineRule="auto"/>
              <w:jc w:val="center"/>
              <w:rPr>
                <w:rFonts w:cs="Arial"/>
                <w:sz w:val="18"/>
                <w:szCs w:val="18"/>
              </w:rPr>
            </w:pPr>
            <w:r w:rsidRPr="00E74A46">
              <w:rPr>
                <w:rFonts w:cs="Arial"/>
                <w:sz w:val="18"/>
                <w:szCs w:val="18"/>
              </w:rPr>
              <w:t>22</w:t>
            </w:r>
            <w:r w:rsidR="00A91F7D">
              <w:rPr>
                <w:rFonts w:cs="Arial"/>
                <w:sz w:val="18"/>
                <w:szCs w:val="18"/>
              </w:rPr>
              <w:t>%</w:t>
            </w:r>
          </w:p>
        </w:tc>
        <w:tc>
          <w:tcPr>
            <w:tcW w:w="1570" w:type="dxa"/>
            <w:gridSpan w:val="7"/>
            <w:tcBorders>
              <w:top w:val="nil"/>
              <w:left w:val="nil"/>
              <w:bottom w:val="single" w:sz="4" w:space="0" w:color="auto"/>
              <w:right w:val="single" w:sz="4" w:space="0" w:color="auto"/>
            </w:tcBorders>
            <w:shd w:val="clear" w:color="auto" w:fill="auto"/>
            <w:noWrap/>
            <w:vAlign w:val="center"/>
            <w:hideMark/>
          </w:tcPr>
          <w:p w:rsidR="00B627AA" w:rsidRPr="008D2996" w:rsidRDefault="00E74A46" w:rsidP="00583537">
            <w:pPr>
              <w:spacing w:after="0" w:line="240" w:lineRule="auto"/>
              <w:jc w:val="center"/>
              <w:rPr>
                <w:rFonts w:cs="Arial"/>
                <w:sz w:val="18"/>
                <w:szCs w:val="18"/>
              </w:rPr>
            </w:pPr>
            <w:r w:rsidRPr="00E74A46">
              <w:rPr>
                <w:rFonts w:cs="Arial"/>
                <w:sz w:val="18"/>
                <w:szCs w:val="18"/>
              </w:rPr>
              <w:t>25 161</w:t>
            </w:r>
          </w:p>
        </w:tc>
        <w:tc>
          <w:tcPr>
            <w:tcW w:w="1752" w:type="dxa"/>
            <w:gridSpan w:val="12"/>
            <w:tcBorders>
              <w:top w:val="nil"/>
              <w:left w:val="nil"/>
              <w:bottom w:val="single" w:sz="4" w:space="0" w:color="auto"/>
              <w:right w:val="single" w:sz="4" w:space="0" w:color="auto"/>
            </w:tcBorders>
            <w:shd w:val="clear" w:color="auto" w:fill="auto"/>
            <w:noWrap/>
            <w:vAlign w:val="center"/>
            <w:hideMark/>
          </w:tcPr>
          <w:p w:rsidR="00D45F13" w:rsidRDefault="00E74A46">
            <w:pPr>
              <w:spacing w:after="0" w:line="240" w:lineRule="auto"/>
              <w:jc w:val="center"/>
              <w:rPr>
                <w:rFonts w:cs="Arial"/>
                <w:sz w:val="18"/>
                <w:szCs w:val="18"/>
              </w:rPr>
            </w:pPr>
            <w:r w:rsidRPr="00E74A46">
              <w:rPr>
                <w:rFonts w:cs="Arial"/>
                <w:sz w:val="18"/>
                <w:szCs w:val="18"/>
              </w:rPr>
              <w:t>29,8</w:t>
            </w:r>
            <w:r w:rsidR="00D92F12">
              <w:rPr>
                <w:rFonts w:cs="Arial"/>
                <w:sz w:val="18"/>
                <w:szCs w:val="18"/>
              </w:rPr>
              <w:t>%</w:t>
            </w:r>
          </w:p>
        </w:tc>
        <w:tc>
          <w:tcPr>
            <w:tcW w:w="1391" w:type="dxa"/>
            <w:gridSpan w:val="15"/>
            <w:tcBorders>
              <w:top w:val="nil"/>
              <w:left w:val="nil"/>
              <w:bottom w:val="single" w:sz="4" w:space="0" w:color="auto"/>
              <w:right w:val="single" w:sz="4" w:space="0" w:color="auto"/>
            </w:tcBorders>
            <w:shd w:val="clear" w:color="auto" w:fill="auto"/>
            <w:noWrap/>
            <w:vAlign w:val="center"/>
            <w:hideMark/>
          </w:tcPr>
          <w:p w:rsidR="00B627AA" w:rsidRPr="008D2996" w:rsidRDefault="00E74A46" w:rsidP="00A91F7D">
            <w:pPr>
              <w:spacing w:after="0" w:line="240" w:lineRule="auto"/>
              <w:jc w:val="center"/>
              <w:rPr>
                <w:rFonts w:cs="Arial"/>
                <w:sz w:val="18"/>
                <w:szCs w:val="18"/>
              </w:rPr>
            </w:pPr>
            <w:r w:rsidRPr="00E74A46">
              <w:rPr>
                <w:rFonts w:cs="Arial"/>
                <w:sz w:val="18"/>
                <w:szCs w:val="18"/>
              </w:rPr>
              <w:t>-</w:t>
            </w:r>
            <w:r w:rsidR="00A91F7D">
              <w:rPr>
                <w:rFonts w:cs="Arial"/>
                <w:sz w:val="18"/>
                <w:szCs w:val="18"/>
              </w:rPr>
              <w:t>3,9</w:t>
            </w:r>
            <w:r w:rsidRPr="00E74A46">
              <w:rPr>
                <w:rFonts w:cs="Arial"/>
                <w:sz w:val="18"/>
                <w:szCs w:val="18"/>
              </w:rPr>
              <w:t>%</w:t>
            </w:r>
          </w:p>
        </w:tc>
      </w:tr>
      <w:tr w:rsidR="00B627AA" w:rsidRPr="008D2996" w:rsidTr="00A91F7D">
        <w:trPr>
          <w:gridAfter w:val="1"/>
          <w:wAfter w:w="28" w:type="dxa"/>
          <w:trHeight w:val="285"/>
        </w:trPr>
        <w:tc>
          <w:tcPr>
            <w:tcW w:w="9270" w:type="dxa"/>
            <w:gridSpan w:val="35"/>
            <w:tcBorders>
              <w:top w:val="nil"/>
              <w:left w:val="nil"/>
              <w:bottom w:val="nil"/>
              <w:right w:val="nil"/>
            </w:tcBorders>
            <w:shd w:val="clear" w:color="auto" w:fill="auto"/>
            <w:noWrap/>
            <w:vAlign w:val="bottom"/>
            <w:hideMark/>
          </w:tcPr>
          <w:p w:rsidR="00B627AA" w:rsidRPr="008D2996" w:rsidRDefault="00E74A46" w:rsidP="00583537">
            <w:pPr>
              <w:spacing w:after="0" w:line="240" w:lineRule="auto"/>
              <w:jc w:val="left"/>
              <w:rPr>
                <w:rFonts w:cs="Arial"/>
                <w:sz w:val="18"/>
                <w:szCs w:val="18"/>
              </w:rPr>
            </w:pPr>
            <w:r w:rsidRPr="00E74A46">
              <w:rPr>
                <w:rFonts w:cs="Arial"/>
                <w:sz w:val="18"/>
                <w:szCs w:val="18"/>
              </w:rPr>
              <w:t xml:space="preserve">Les frais de la CNMA concernent le siège uniquement </w:t>
            </w:r>
          </w:p>
        </w:tc>
        <w:tc>
          <w:tcPr>
            <w:tcW w:w="146"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46"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46" w:type="dxa"/>
            <w:gridSpan w:val="3"/>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r>
      <w:tr w:rsidR="00B627AA" w:rsidRPr="008D2996" w:rsidTr="00A91F7D">
        <w:trPr>
          <w:gridAfter w:val="1"/>
          <w:wAfter w:w="28" w:type="dxa"/>
          <w:trHeight w:val="285"/>
        </w:trPr>
        <w:tc>
          <w:tcPr>
            <w:tcW w:w="9124" w:type="dxa"/>
            <w:gridSpan w:val="33"/>
            <w:tcBorders>
              <w:top w:val="nil"/>
              <w:left w:val="nil"/>
              <w:bottom w:val="nil"/>
              <w:right w:val="nil"/>
            </w:tcBorders>
            <w:shd w:val="clear" w:color="auto" w:fill="auto"/>
            <w:noWrap/>
            <w:vAlign w:val="bottom"/>
            <w:hideMark/>
          </w:tcPr>
          <w:p w:rsidR="00B627AA" w:rsidRPr="008D2996" w:rsidRDefault="00E74A46" w:rsidP="00583537">
            <w:pPr>
              <w:spacing w:after="0" w:line="240" w:lineRule="auto"/>
              <w:jc w:val="left"/>
              <w:rPr>
                <w:rFonts w:cs="Arial"/>
                <w:sz w:val="18"/>
                <w:szCs w:val="18"/>
              </w:rPr>
            </w:pPr>
            <w:r w:rsidRPr="00E74A46">
              <w:rPr>
                <w:rFonts w:cs="Arial"/>
                <w:sz w:val="18"/>
                <w:szCs w:val="18"/>
              </w:rPr>
              <w:t>* La CCR n'a pas été intégrée dans ce tableau</w:t>
            </w:r>
          </w:p>
        </w:tc>
        <w:tc>
          <w:tcPr>
            <w:tcW w:w="146"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46"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46" w:type="dxa"/>
            <w:gridSpan w:val="2"/>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c>
          <w:tcPr>
            <w:tcW w:w="146" w:type="dxa"/>
            <w:gridSpan w:val="3"/>
            <w:tcBorders>
              <w:top w:val="nil"/>
              <w:left w:val="nil"/>
              <w:bottom w:val="nil"/>
              <w:right w:val="nil"/>
            </w:tcBorders>
            <w:shd w:val="clear" w:color="auto" w:fill="auto"/>
            <w:noWrap/>
            <w:vAlign w:val="bottom"/>
            <w:hideMark/>
          </w:tcPr>
          <w:p w:rsidR="00B627AA" w:rsidRPr="008D2996" w:rsidRDefault="00B627AA" w:rsidP="00583537">
            <w:pPr>
              <w:spacing w:after="0" w:line="240" w:lineRule="auto"/>
              <w:jc w:val="left"/>
              <w:rPr>
                <w:rFonts w:cs="Arial"/>
                <w:sz w:val="18"/>
                <w:szCs w:val="18"/>
              </w:rPr>
            </w:pPr>
          </w:p>
        </w:tc>
      </w:tr>
      <w:tr w:rsidR="00B627AA" w:rsidRPr="008D2996" w:rsidTr="00A91F7D">
        <w:trPr>
          <w:trHeight w:val="540"/>
        </w:trPr>
        <w:tc>
          <w:tcPr>
            <w:tcW w:w="5766" w:type="dxa"/>
            <w:gridSpan w:val="9"/>
            <w:tcBorders>
              <w:top w:val="nil"/>
              <w:left w:val="nil"/>
              <w:bottom w:val="nil"/>
              <w:right w:val="nil"/>
            </w:tcBorders>
            <w:shd w:val="clear" w:color="auto" w:fill="auto"/>
            <w:vAlign w:val="center"/>
            <w:hideMark/>
          </w:tcPr>
          <w:p w:rsidR="00B627AA" w:rsidRPr="008D2996" w:rsidRDefault="00E74A46" w:rsidP="00583537">
            <w:pPr>
              <w:spacing w:after="0" w:line="240" w:lineRule="auto"/>
              <w:jc w:val="left"/>
              <w:rPr>
                <w:rFonts w:cs="Arial"/>
                <w:sz w:val="18"/>
                <w:szCs w:val="18"/>
              </w:rPr>
            </w:pPr>
            <w:r w:rsidRPr="00E74A46">
              <w:rPr>
                <w:rFonts w:cs="Arial"/>
                <w:sz w:val="18"/>
                <w:szCs w:val="18"/>
              </w:rPr>
              <w:t>* La production de la CAGEX comprend des prestations de service (renseignement économique) hors assurance qui n'ont pas été intégrées dans ce tableau.</w:t>
            </w: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60" w:type="dxa"/>
            <w:vAlign w:val="center"/>
            <w:hideMark/>
          </w:tcPr>
          <w:p w:rsidR="00B627AA" w:rsidRPr="008D2996" w:rsidRDefault="00B627AA" w:rsidP="00583537">
            <w:pPr>
              <w:spacing w:after="0" w:line="240" w:lineRule="auto"/>
              <w:jc w:val="left"/>
              <w:rPr>
                <w:rFonts w:cs="Times New Roman"/>
                <w:sz w:val="20"/>
                <w:szCs w:val="20"/>
              </w:rPr>
            </w:pPr>
          </w:p>
        </w:tc>
        <w:tc>
          <w:tcPr>
            <w:tcW w:w="160"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2"/>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2"/>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2"/>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2"/>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2"/>
            <w:vAlign w:val="center"/>
            <w:hideMark/>
          </w:tcPr>
          <w:p w:rsidR="00B627AA" w:rsidRPr="008D2996" w:rsidRDefault="00B627AA" w:rsidP="00583537">
            <w:pPr>
              <w:spacing w:after="0" w:line="240" w:lineRule="auto"/>
              <w:jc w:val="left"/>
              <w:rPr>
                <w:rFonts w:cs="Times New Roman"/>
                <w:sz w:val="20"/>
                <w:szCs w:val="20"/>
              </w:rPr>
            </w:pPr>
          </w:p>
        </w:tc>
        <w:tc>
          <w:tcPr>
            <w:tcW w:w="146" w:type="dxa"/>
            <w:gridSpan w:val="3"/>
            <w:vAlign w:val="center"/>
            <w:hideMark/>
          </w:tcPr>
          <w:p w:rsidR="00B627AA" w:rsidRPr="008D2996" w:rsidRDefault="00B627AA" w:rsidP="00583537">
            <w:pPr>
              <w:spacing w:after="0" w:line="240" w:lineRule="auto"/>
              <w:jc w:val="left"/>
              <w:rPr>
                <w:rFonts w:cs="Times New Roman"/>
                <w:sz w:val="20"/>
                <w:szCs w:val="20"/>
              </w:rPr>
            </w:pPr>
          </w:p>
        </w:tc>
      </w:tr>
    </w:tbl>
    <w:p w:rsidR="00B627AA" w:rsidRPr="008D2996" w:rsidRDefault="00B627AA" w:rsidP="00B627AA"/>
    <w:p w:rsidR="00B627AA" w:rsidRPr="008D2996" w:rsidRDefault="00B627AA" w:rsidP="00B627AA"/>
    <w:p w:rsidR="00B627AA" w:rsidRPr="008D2996" w:rsidRDefault="00E74A46" w:rsidP="00B627AA">
      <w:pPr>
        <w:jc w:val="left"/>
        <w:rPr>
          <w:rStyle w:val="Titre1Car1"/>
          <w:b w:val="0"/>
          <w:color w:val="000000"/>
          <w:sz w:val="22"/>
          <w:szCs w:val="22"/>
        </w:rPr>
      </w:pPr>
      <w:r w:rsidRPr="00E74A46">
        <w:t xml:space="preserve">STRUCTURE DES FRAIS </w:t>
      </w:r>
      <w:r>
        <w:rPr>
          <w:rStyle w:val="Titre1Car1"/>
          <w:b w:val="0"/>
          <w:color w:val="000000"/>
          <w:sz w:val="22"/>
          <w:szCs w:val="22"/>
        </w:rPr>
        <w:t>GENERAUX</w:t>
      </w:r>
    </w:p>
    <w:p w:rsidR="00B627AA" w:rsidRPr="008D2996" w:rsidRDefault="00B627AA" w:rsidP="00B627AA"/>
    <w:p w:rsidR="00B627AA" w:rsidRPr="008D2996" w:rsidRDefault="00E74A46" w:rsidP="00B627AA">
      <w:pPr>
        <w:rPr>
          <w:color w:val="0000FF"/>
        </w:rPr>
      </w:pPr>
      <w:r w:rsidRPr="00E74A46">
        <w:t xml:space="preserve">Elle demeure dominée par les frais du personnel dont le poids est passé </w:t>
      </w:r>
      <w:r w:rsidR="00D03458">
        <w:t xml:space="preserve">de </w:t>
      </w:r>
      <w:r w:rsidR="00D03458" w:rsidRPr="00E74A46">
        <w:t>35</w:t>
      </w:r>
      <w:r w:rsidR="00D92F12">
        <w:t>,1</w:t>
      </w:r>
      <w:r w:rsidR="00D03458" w:rsidRPr="00E74A46">
        <w:t xml:space="preserve">% en 2009 </w:t>
      </w:r>
      <w:r w:rsidRPr="00E74A46">
        <w:t>à 39</w:t>
      </w:r>
      <w:r w:rsidR="00D92F12">
        <w:t>,0</w:t>
      </w:r>
      <w:r w:rsidRPr="00E74A46">
        <w:t>%</w:t>
      </w:r>
      <w:r w:rsidR="00D03458">
        <w:t xml:space="preserve">  </w:t>
      </w:r>
      <w:r w:rsidRPr="00E74A46">
        <w:rPr>
          <w:color w:val="0000FF"/>
        </w:rPr>
        <w:t>(</w:t>
      </w:r>
      <w:r w:rsidRPr="00E74A46">
        <w:rPr>
          <w:color w:val="0000FF"/>
          <w:sz w:val="20"/>
        </w:rPr>
        <w:t xml:space="preserve"> </w:t>
      </w:r>
      <w:r w:rsidR="00D03458">
        <w:rPr>
          <w:color w:val="0000FF"/>
          <w:sz w:val="20"/>
        </w:rPr>
        <w:t>T</w:t>
      </w:r>
      <w:r w:rsidR="00D03458" w:rsidRPr="00E74A46">
        <w:rPr>
          <w:color w:val="0000FF"/>
          <w:sz w:val="20"/>
        </w:rPr>
        <w:t xml:space="preserve">ableau </w:t>
      </w:r>
      <w:r w:rsidRPr="00E74A46">
        <w:rPr>
          <w:color w:val="0000FF"/>
          <w:sz w:val="20"/>
        </w:rPr>
        <w:t>n°10.39)</w:t>
      </w:r>
      <w:r w:rsidRPr="00E74A46">
        <w:rPr>
          <w:color w:val="0000FF"/>
        </w:rPr>
        <w:t xml:space="preserve">. </w:t>
      </w:r>
    </w:p>
    <w:p w:rsidR="00B627AA" w:rsidRPr="008D2996" w:rsidRDefault="00E74A46" w:rsidP="00B627AA">
      <w:r w:rsidRPr="00E74A46">
        <w:t xml:space="preserve">La tendance à la hausse de cette structure résulte de l’augmentation du point indiciaire en 2010 </w:t>
      </w:r>
      <w:r w:rsidR="00CB20E9">
        <w:t xml:space="preserve">qui est passé </w:t>
      </w:r>
      <w:r w:rsidRPr="00E74A46">
        <w:t>de 40 à 46</w:t>
      </w:r>
      <w:r w:rsidR="00E57ECB">
        <w:t>.</w:t>
      </w:r>
      <w:r w:rsidR="00E57ECB" w:rsidRPr="00E74A46">
        <w:t xml:space="preserve"> </w:t>
      </w:r>
      <w:r w:rsidR="00E57ECB">
        <w:t>A</w:t>
      </w:r>
      <w:r w:rsidR="00E57ECB" w:rsidRPr="00E74A46">
        <w:t xml:space="preserve">ussi </w:t>
      </w:r>
      <w:r w:rsidRPr="00E74A46">
        <w:t>il y a lieu de signalé l’effort des trois sociétés traditionnelles d’assurance (SAA, CAAR et CAAT) à contenir la croissance de leurs charges en frais du personnel lesquels représentent, en 2010, 67% des frais de personnel du secteur</w:t>
      </w:r>
      <w:r w:rsidR="00A84827">
        <w:t xml:space="preserve"> contre 69% en </w:t>
      </w:r>
      <w:r w:rsidR="00AC23B3">
        <w:t>2009.</w:t>
      </w:r>
    </w:p>
    <w:p w:rsidR="00B627AA" w:rsidRPr="008D2996" w:rsidRDefault="00E74A46" w:rsidP="00B627AA">
      <w:r w:rsidRPr="00E74A46">
        <w:t>Hormis les dotations aux amortissements, provisions et pertes de valeurs qui sont passé de 32</w:t>
      </w:r>
      <w:r w:rsidR="005649F5">
        <w:t>,</w:t>
      </w:r>
      <w:r w:rsidRPr="00E74A46">
        <w:t>8% en 2009 à 23</w:t>
      </w:r>
      <w:r w:rsidR="00D03458">
        <w:t>,</w:t>
      </w:r>
      <w:r w:rsidRPr="00E74A46">
        <w:t>1% en 2010</w:t>
      </w:r>
      <w:r w:rsidR="005649F5">
        <w:t>,</w:t>
      </w:r>
      <w:r w:rsidRPr="00E74A46">
        <w:t xml:space="preserve">  les charges de </w:t>
      </w:r>
      <w:r w:rsidR="00AC23B3" w:rsidRPr="00E74A46">
        <w:t>gestion</w:t>
      </w:r>
      <w:r w:rsidR="00AC23B3">
        <w:t xml:space="preserve"> (</w:t>
      </w:r>
      <w:r w:rsidR="007D3E5F">
        <w:t>frais généraux sans</w:t>
      </w:r>
      <w:r w:rsidR="007D3E5F" w:rsidRPr="007D3E5F">
        <w:t xml:space="preserve"> </w:t>
      </w:r>
      <w:r w:rsidR="007D3E5F" w:rsidRPr="00E74A46">
        <w:t xml:space="preserve">les dotations aux amortissements, provisions et pertes de </w:t>
      </w:r>
      <w:r w:rsidR="00AC23B3" w:rsidRPr="00E74A46">
        <w:t>valeurs</w:t>
      </w:r>
      <w:r w:rsidR="00AC23B3">
        <w:t>)</w:t>
      </w:r>
      <w:r w:rsidRPr="00E74A46">
        <w:t xml:space="preserve"> sont en augmentation de 6,6% par rapport celle</w:t>
      </w:r>
      <w:r w:rsidR="005649F5">
        <w:t>s</w:t>
      </w:r>
      <w:r w:rsidRPr="00E74A46">
        <w:t xml:space="preserve"> observée</w:t>
      </w:r>
      <w:r w:rsidR="005649F5">
        <w:t>s</w:t>
      </w:r>
      <w:r w:rsidRPr="00E74A46">
        <w:t xml:space="preserve"> en 2009. </w:t>
      </w:r>
    </w:p>
    <w:p w:rsidR="00B627AA" w:rsidRPr="008D2996" w:rsidRDefault="00ED258B" w:rsidP="00B627AA">
      <w:r w:rsidRPr="008D2996">
        <w:object w:dxaOrig="14770" w:dyaOrig="8309">
          <v:shape id="_x0000_i1029" type="#_x0000_t75" style="width:496.5pt;height:372pt" o:ole="">
            <v:imagedata r:id="rId60" o:title=""/>
          </v:shape>
          <o:OLEObject Type="Embed" ProgID="Excel.Sheet.12" ShapeID="_x0000_i1029" DrawAspect="Content" ObjectID="_1402320641" r:id="rId61"/>
        </w:object>
      </w:r>
    </w:p>
    <w:p w:rsidR="00B627AA" w:rsidRPr="008D2996" w:rsidRDefault="00E74A46" w:rsidP="00B627AA">
      <w:pPr>
        <w:pStyle w:val="Titre2"/>
        <w:spacing w:line="240" w:lineRule="auto"/>
      </w:pPr>
      <w:bookmarkStart w:id="502" w:name="_Toc326156018"/>
      <w:bookmarkStart w:id="503" w:name="_Toc327883452"/>
      <w:bookmarkStart w:id="504" w:name="_Toc327883632"/>
      <w:bookmarkStart w:id="505" w:name="_Toc327883978"/>
      <w:bookmarkStart w:id="506" w:name="_Toc327885045"/>
      <w:bookmarkStart w:id="507" w:name="_Toc327885630"/>
      <w:bookmarkStart w:id="508" w:name="_Toc327916557"/>
      <w:r w:rsidRPr="00E74A46">
        <w:t>Couverture des frais generaux par les produits financiers</w:t>
      </w:r>
      <w:bookmarkEnd w:id="502"/>
      <w:bookmarkEnd w:id="503"/>
      <w:bookmarkEnd w:id="504"/>
      <w:bookmarkEnd w:id="505"/>
      <w:bookmarkEnd w:id="506"/>
      <w:bookmarkEnd w:id="507"/>
      <w:bookmarkEnd w:id="508"/>
    </w:p>
    <w:p w:rsidR="00EB5BF9" w:rsidRDefault="00E74A46">
      <w:pPr>
        <w:rPr>
          <w:color w:val="0000FF"/>
        </w:rPr>
      </w:pPr>
      <w:r w:rsidRPr="00E74A46">
        <w:t xml:space="preserve">La couverture des frais généraux par les produits financiers </w:t>
      </w:r>
      <w:r w:rsidR="00010B02">
        <w:t>connait</w:t>
      </w:r>
      <w:r w:rsidRPr="00E74A46">
        <w:t xml:space="preserve"> </w:t>
      </w:r>
      <w:r w:rsidR="00010B02">
        <w:t>en 2010</w:t>
      </w:r>
      <w:r w:rsidRPr="00E74A46">
        <w:t>, une légère hausse avec un taux de 1</w:t>
      </w:r>
      <w:r w:rsidR="00E0421D">
        <w:t>4,7</w:t>
      </w:r>
      <w:r w:rsidRPr="00E74A46">
        <w:t xml:space="preserve">% contre </w:t>
      </w:r>
      <w:r w:rsidR="00E0421D">
        <w:t>12,6</w:t>
      </w:r>
      <w:r w:rsidRPr="00E74A46">
        <w:t>% en 2009</w:t>
      </w:r>
      <w:r w:rsidR="00010B02">
        <w:t>.</w:t>
      </w:r>
      <w:r w:rsidR="00010B02" w:rsidRPr="00E74A46">
        <w:t xml:space="preserve"> </w:t>
      </w:r>
      <w:r w:rsidR="00010B02">
        <w:t>C</w:t>
      </w:r>
      <w:r w:rsidR="00010B02" w:rsidRPr="00E74A46">
        <w:t xml:space="preserve">e </w:t>
      </w:r>
      <w:r w:rsidRPr="00E74A46">
        <w:t>résultat global est la conséquence de l’évolution des rendements des placements financiers et la baisse des charges</w:t>
      </w:r>
      <w:r w:rsidR="00502EF6" w:rsidRPr="00502EF6">
        <w:t xml:space="preserve"> </w:t>
      </w:r>
      <w:r w:rsidR="00502EF6" w:rsidRPr="00E74A46">
        <w:t>en 2010</w:t>
      </w:r>
      <w:r w:rsidRPr="00E74A46">
        <w:t>.</w:t>
      </w:r>
      <w:r w:rsidRPr="00E74A46">
        <w:rPr>
          <w:color w:val="0000FF"/>
        </w:rPr>
        <w:t xml:space="preserve"> </w:t>
      </w:r>
      <w:r w:rsidRPr="00E74A46">
        <w:rPr>
          <w:color w:val="0000FF"/>
          <w:sz w:val="20"/>
        </w:rPr>
        <w:t>(</w:t>
      </w:r>
      <w:r w:rsidR="00010B02">
        <w:rPr>
          <w:color w:val="0000FF"/>
          <w:sz w:val="20"/>
        </w:rPr>
        <w:t>T</w:t>
      </w:r>
      <w:r w:rsidRPr="00E74A46">
        <w:rPr>
          <w:color w:val="0000FF"/>
          <w:sz w:val="20"/>
        </w:rPr>
        <w:t>ableau n° 10.40)</w:t>
      </w:r>
      <w:r w:rsidRPr="00E74A46">
        <w:rPr>
          <w:color w:val="0000FF"/>
        </w:rPr>
        <w:t>.</w:t>
      </w:r>
    </w:p>
    <w:p w:rsidR="00B627AA" w:rsidRPr="008D2996" w:rsidRDefault="00E74A46" w:rsidP="00B627AA">
      <w:r w:rsidRPr="00E74A46">
        <w:t xml:space="preserve">Les </w:t>
      </w:r>
      <w:r w:rsidR="00A60CED">
        <w:t xml:space="preserve">sociétés </w:t>
      </w:r>
      <w:r w:rsidRPr="00E74A46">
        <w:t xml:space="preserve"> privées </w:t>
      </w:r>
      <w:r w:rsidR="006F7E18">
        <w:t>récentes</w:t>
      </w:r>
      <w:r w:rsidR="00502EF6">
        <w:t>,</w:t>
      </w:r>
      <w:r w:rsidR="006F7E18">
        <w:t xml:space="preserve"> </w:t>
      </w:r>
      <w:r w:rsidR="006773D3">
        <w:t xml:space="preserve">aux </w:t>
      </w:r>
      <w:r w:rsidRPr="00E74A46">
        <w:t xml:space="preserve">fonds propres relativement </w:t>
      </w:r>
      <w:r w:rsidR="007337E2">
        <w:t>bas</w:t>
      </w:r>
      <w:r w:rsidR="006773D3">
        <w:t>,</w:t>
      </w:r>
      <w:r w:rsidR="00502EF6">
        <w:t xml:space="preserve"> </w:t>
      </w:r>
      <w:r w:rsidR="00502EF6" w:rsidRPr="00E74A46">
        <w:t>contribu</w:t>
      </w:r>
      <w:r w:rsidR="006773D3">
        <w:t>ent</w:t>
      </w:r>
      <w:r w:rsidR="00502EF6" w:rsidRPr="00E74A46">
        <w:t xml:space="preserve"> </w:t>
      </w:r>
      <w:r w:rsidR="007337E2">
        <w:t>faiblement</w:t>
      </w:r>
      <w:r w:rsidR="006773D3" w:rsidRPr="00E74A46">
        <w:t xml:space="preserve"> </w:t>
      </w:r>
      <w:r w:rsidR="00502EF6" w:rsidRPr="00E74A46">
        <w:t xml:space="preserve">à </w:t>
      </w:r>
      <w:r w:rsidR="007337E2">
        <w:t xml:space="preserve">cette </w:t>
      </w:r>
      <w:r w:rsidR="00502EF6" w:rsidRPr="00E74A46">
        <w:t>couverture</w:t>
      </w:r>
      <w:r w:rsidR="00A60CED">
        <w:t>.</w:t>
      </w:r>
      <w:r w:rsidR="00AC23B3" w:rsidRPr="00AC23B3">
        <w:rPr>
          <w:noProof/>
        </w:rPr>
        <w:drawing>
          <wp:inline distT="0" distB="0" distL="0" distR="0">
            <wp:extent cx="5894861" cy="2188185"/>
            <wp:effectExtent l="19050" t="0" r="0" b="0"/>
            <wp:docPr id="6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5904264" cy="2191675"/>
                    </a:xfrm>
                    <a:prstGeom prst="rect">
                      <a:avLst/>
                    </a:prstGeom>
                    <a:noFill/>
                    <a:ln w="9525">
                      <a:noFill/>
                      <a:miter lim="800000"/>
                      <a:headEnd/>
                      <a:tailEnd/>
                    </a:ln>
                  </pic:spPr>
                </pic:pic>
              </a:graphicData>
            </a:graphic>
          </wp:inline>
        </w:drawing>
      </w:r>
    </w:p>
    <w:p w:rsidR="00B627AA" w:rsidRPr="008D2996" w:rsidRDefault="00B627AA" w:rsidP="00B627AA"/>
    <w:p w:rsidR="00287A7E" w:rsidRPr="008D2996" w:rsidRDefault="00E74A46" w:rsidP="00ED258B">
      <w:r w:rsidRPr="00E74A46">
        <w:t xml:space="preserve"> </w:t>
      </w:r>
      <w:bookmarkStart w:id="509" w:name="_Toc326156019"/>
      <w:bookmarkStart w:id="510" w:name="_Toc327883453"/>
      <w:bookmarkStart w:id="511" w:name="_Toc327916558"/>
      <w:bookmarkStart w:id="512" w:name="_Toc74180155"/>
      <w:bookmarkStart w:id="513" w:name="_Toc74181253"/>
      <w:bookmarkStart w:id="514" w:name="_Toc74181816"/>
      <w:bookmarkStart w:id="515" w:name="_Toc74182208"/>
      <w:bookmarkStart w:id="516" w:name="_Toc74188959"/>
      <w:bookmarkStart w:id="517" w:name="_Toc74189063"/>
      <w:bookmarkStart w:id="518" w:name="_Toc74189243"/>
      <w:bookmarkStart w:id="519" w:name="_Toc74189362"/>
      <w:bookmarkStart w:id="520" w:name="_Toc74189559"/>
      <w:r>
        <w:t>Ressources humaines</w:t>
      </w:r>
      <w:bookmarkEnd w:id="509"/>
      <w:bookmarkEnd w:id="510"/>
      <w:bookmarkEnd w:id="511"/>
    </w:p>
    <w:p w:rsidR="00AB4942" w:rsidRPr="008D2996" w:rsidRDefault="00E74A46" w:rsidP="00AB4942">
      <w:pPr>
        <w:pStyle w:val="Titre2"/>
      </w:pPr>
      <w:bookmarkStart w:id="521" w:name="_Toc326156020"/>
      <w:bookmarkStart w:id="522" w:name="_Toc327883454"/>
      <w:bookmarkStart w:id="523" w:name="_Toc327883634"/>
      <w:bookmarkStart w:id="524" w:name="_Toc327883980"/>
      <w:bookmarkStart w:id="525" w:name="_Toc327885047"/>
      <w:bookmarkStart w:id="526" w:name="_Toc327885632"/>
      <w:bookmarkStart w:id="527" w:name="_Toc327916559"/>
      <w:r w:rsidRPr="00E74A46">
        <w:t>L’emploi :</w:t>
      </w:r>
      <w:bookmarkEnd w:id="521"/>
      <w:bookmarkEnd w:id="522"/>
      <w:bookmarkEnd w:id="523"/>
      <w:bookmarkEnd w:id="524"/>
      <w:bookmarkEnd w:id="525"/>
      <w:bookmarkEnd w:id="526"/>
      <w:bookmarkEnd w:id="527"/>
    </w:p>
    <w:p w:rsidR="00AB4942" w:rsidRPr="008D2996" w:rsidRDefault="00E74A46" w:rsidP="00AB4942">
      <w:pPr>
        <w:pStyle w:val="Titre3"/>
      </w:pPr>
      <w:bookmarkStart w:id="528" w:name="_Toc326156021"/>
      <w:bookmarkStart w:id="529" w:name="_Toc327883455"/>
      <w:bookmarkStart w:id="530" w:name="_Toc327883635"/>
      <w:bookmarkStart w:id="531" w:name="_Toc327883981"/>
      <w:bookmarkStart w:id="532" w:name="_Toc327885048"/>
      <w:bookmarkStart w:id="533" w:name="_Toc327885633"/>
      <w:bookmarkStart w:id="534" w:name="_Toc327916560"/>
      <w:r w:rsidRPr="00E74A46">
        <w:t>Effectifs des salariés des sociétés</w:t>
      </w:r>
      <w:bookmarkEnd w:id="528"/>
      <w:bookmarkEnd w:id="529"/>
      <w:bookmarkEnd w:id="530"/>
      <w:bookmarkEnd w:id="531"/>
      <w:bookmarkEnd w:id="532"/>
      <w:bookmarkEnd w:id="533"/>
      <w:bookmarkEnd w:id="534"/>
    </w:p>
    <w:p w:rsidR="00EB5BF9" w:rsidRDefault="00E74A46">
      <w:r w:rsidRPr="00E74A46">
        <w:t>L’effectif total des employés des sociétés atteint à fin 2010</w:t>
      </w:r>
      <w:r w:rsidR="00F77F54">
        <w:t xml:space="preserve"> le nombre de </w:t>
      </w:r>
      <w:r w:rsidRPr="00E74A46">
        <w:t xml:space="preserve"> </w:t>
      </w:r>
      <w:r w:rsidR="00F77F54" w:rsidRPr="00E74A46">
        <w:t xml:space="preserve">12 873 personnes </w:t>
      </w:r>
      <w:r w:rsidRPr="00E74A46">
        <w:t>(Tableau 10.41).</w:t>
      </w:r>
    </w:p>
    <w:p w:rsidR="00AB4942" w:rsidRPr="008D2996" w:rsidRDefault="00E74A46" w:rsidP="00AB4942">
      <w:r w:rsidRPr="00E74A46">
        <w:t>Le classement des 16 sociétés selon l’effectif employé (hors AGA) est le suivant :</w:t>
      </w:r>
    </w:p>
    <w:p w:rsidR="00AB4942" w:rsidRPr="008D2996" w:rsidRDefault="00AB4942" w:rsidP="00AB4942"/>
    <w:p w:rsidR="00AB4942" w:rsidRPr="008D2996" w:rsidRDefault="00E74A46" w:rsidP="00AB4942">
      <w:pPr>
        <w:spacing w:before="120" w:after="0" w:line="240" w:lineRule="auto"/>
        <w:jc w:val="center"/>
        <w:rPr>
          <w:b/>
          <w:bCs/>
          <w:color w:val="000000"/>
          <w:sz w:val="18"/>
          <w:szCs w:val="18"/>
        </w:rPr>
      </w:pPr>
      <w:r w:rsidRPr="00E74A46">
        <w:rPr>
          <w:b/>
          <w:bCs/>
          <w:color w:val="000000"/>
          <w:sz w:val="18"/>
          <w:szCs w:val="18"/>
        </w:rPr>
        <w:t>Tableau n° 10.41 : Classement des sociétés selon l’effectif employé</w:t>
      </w:r>
    </w:p>
    <w:tbl>
      <w:tblPr>
        <w:tblpPr w:leftFromText="141" w:rightFromText="141" w:vertAnchor="text" w:horzAnchor="margin" w:tblpXSpec="center" w:tblpY="192"/>
        <w:tblW w:w="6272" w:type="dxa"/>
        <w:tblCellMar>
          <w:left w:w="70" w:type="dxa"/>
          <w:right w:w="70" w:type="dxa"/>
        </w:tblCellMar>
        <w:tblLook w:val="04A0"/>
      </w:tblPr>
      <w:tblGrid>
        <w:gridCol w:w="424"/>
        <w:gridCol w:w="1616"/>
        <w:gridCol w:w="1716"/>
        <w:gridCol w:w="2516"/>
      </w:tblGrid>
      <w:tr w:rsidR="00AB4942" w:rsidRPr="008D2996" w:rsidTr="0015285A">
        <w:trPr>
          <w:trHeight w:val="660"/>
        </w:trPr>
        <w:tc>
          <w:tcPr>
            <w:tcW w:w="424" w:type="dxa"/>
            <w:tcBorders>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left"/>
              <w:rPr>
                <w:rFonts w:cs="Arial"/>
                <w:sz w:val="20"/>
                <w:szCs w:val="20"/>
              </w:rPr>
            </w:pPr>
            <w:r w:rsidRPr="00E74A46">
              <w:rPr>
                <w:rFonts w:cs="Arial"/>
                <w:sz w:val="20"/>
                <w:szCs w:val="20"/>
              </w:rPr>
              <w:t> </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AB4942" w:rsidRPr="008D2996" w:rsidRDefault="00AB4942" w:rsidP="00583537">
            <w:pPr>
              <w:spacing w:after="0" w:line="240" w:lineRule="auto"/>
              <w:jc w:val="left"/>
              <w:rPr>
                <w:rFonts w:cs="Arial"/>
                <w:b/>
                <w:bCs/>
                <w:color w:val="000000"/>
                <w:sz w:val="18"/>
                <w:szCs w:val="18"/>
              </w:rPr>
            </w:pPr>
          </w:p>
          <w:p w:rsidR="00AB4942" w:rsidRPr="008D2996" w:rsidRDefault="00E74A46" w:rsidP="00583537">
            <w:pPr>
              <w:spacing w:after="0" w:line="240" w:lineRule="auto"/>
              <w:jc w:val="left"/>
              <w:rPr>
                <w:rFonts w:cs="Arial"/>
                <w:b/>
                <w:bCs/>
                <w:color w:val="000000"/>
                <w:sz w:val="18"/>
                <w:szCs w:val="18"/>
              </w:rPr>
            </w:pPr>
            <w:r w:rsidRPr="00E74A46">
              <w:rPr>
                <w:rFonts w:cs="Arial"/>
                <w:b/>
                <w:bCs/>
                <w:color w:val="000000"/>
                <w:sz w:val="18"/>
                <w:szCs w:val="18"/>
              </w:rPr>
              <w:t>Compagnie</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AB4942" w:rsidP="00583537">
            <w:pPr>
              <w:spacing w:after="0" w:line="240" w:lineRule="auto"/>
              <w:jc w:val="center"/>
              <w:rPr>
                <w:rFonts w:cs="Arial"/>
                <w:b/>
                <w:bCs/>
                <w:sz w:val="18"/>
                <w:szCs w:val="18"/>
              </w:rPr>
            </w:pPr>
          </w:p>
          <w:p w:rsidR="00AB4942" w:rsidRPr="008D2996" w:rsidRDefault="00E74A46" w:rsidP="00583537">
            <w:pPr>
              <w:spacing w:after="0" w:line="240" w:lineRule="auto"/>
              <w:jc w:val="center"/>
              <w:rPr>
                <w:rFonts w:cs="Arial"/>
                <w:b/>
                <w:bCs/>
                <w:sz w:val="18"/>
                <w:szCs w:val="18"/>
              </w:rPr>
            </w:pPr>
            <w:r w:rsidRPr="00E74A46">
              <w:rPr>
                <w:rFonts w:cs="Arial"/>
                <w:b/>
                <w:bCs/>
                <w:sz w:val="18"/>
                <w:szCs w:val="18"/>
              </w:rPr>
              <w:t>Effectif 2010</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AB4942" w:rsidRPr="008D2996" w:rsidRDefault="00AB4942" w:rsidP="00583537">
            <w:pPr>
              <w:keepNext/>
              <w:spacing w:before="240" w:after="0" w:line="240" w:lineRule="auto"/>
              <w:jc w:val="center"/>
              <w:outlineLvl w:val="0"/>
              <w:rPr>
                <w:rFonts w:cs="Arial"/>
                <w:b/>
                <w:bCs/>
                <w:color w:val="000000"/>
                <w:sz w:val="18"/>
                <w:szCs w:val="18"/>
              </w:rPr>
            </w:pPr>
          </w:p>
          <w:p w:rsidR="00AB4942" w:rsidRPr="008D2996" w:rsidRDefault="00E74A46" w:rsidP="00583537">
            <w:pPr>
              <w:spacing w:after="0" w:line="240" w:lineRule="auto"/>
              <w:jc w:val="center"/>
              <w:rPr>
                <w:rFonts w:cs="Arial"/>
                <w:b/>
                <w:bCs/>
                <w:color w:val="000000"/>
                <w:sz w:val="18"/>
                <w:szCs w:val="18"/>
              </w:rPr>
            </w:pPr>
            <w:r w:rsidRPr="00E74A46">
              <w:rPr>
                <w:rFonts w:cs="Arial"/>
                <w:b/>
                <w:bCs/>
                <w:color w:val="000000"/>
                <w:sz w:val="18"/>
                <w:szCs w:val="18"/>
              </w:rPr>
              <w:t xml:space="preserve">Part (%) dans l'effectif total </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SAA</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4 574</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E24313" w:rsidRDefault="00E74A46">
            <w:pPr>
              <w:jc w:val="center"/>
              <w:rPr>
                <w:rFonts w:cs="Arial"/>
                <w:color w:val="000000"/>
                <w:sz w:val="20"/>
                <w:szCs w:val="20"/>
              </w:rPr>
            </w:pPr>
            <w:r w:rsidRPr="00E74A46">
              <w:rPr>
                <w:rFonts w:cs="Arial"/>
                <w:color w:val="000000"/>
                <w:sz w:val="20"/>
                <w:szCs w:val="20"/>
              </w:rPr>
              <w:t>35,53</w:t>
            </w:r>
          </w:p>
        </w:tc>
      </w:tr>
      <w:tr w:rsidR="00AB4942" w:rsidRPr="008D2996" w:rsidTr="0015285A">
        <w:trPr>
          <w:trHeight w:val="25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2-</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CNMA</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2 215</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17,21</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3-</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CAAR</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1 783</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13,85</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4-</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CAAT</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1 558</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12,10</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5-</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2A</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317</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2,46</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6-</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CIAR</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355</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2,76</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7-</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CCR</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92</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0,71</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8-</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TRUST</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178</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1,38</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9-</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SALAMA</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246</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1,91</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10-</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CASH</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275</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2,14</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11-</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SGCI</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41</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0,32</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12-</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CAGEX</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47</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0,37</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13-</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ALLIANCE</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368</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2,86</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14-</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GAM</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783</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6,08</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15-</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CARDIF</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22</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0,17</w:t>
            </w:r>
          </w:p>
        </w:tc>
      </w:tr>
      <w:tr w:rsidR="00AB4942" w:rsidRPr="008D2996" w:rsidTr="0015285A">
        <w:trPr>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049" w:rsidRDefault="00E74A46">
            <w:pPr>
              <w:spacing w:after="0" w:line="240" w:lineRule="auto"/>
              <w:jc w:val="center"/>
              <w:rPr>
                <w:rFonts w:cs="Arial"/>
                <w:sz w:val="20"/>
                <w:szCs w:val="20"/>
              </w:rPr>
            </w:pPr>
            <w:r w:rsidRPr="00E74A46">
              <w:rPr>
                <w:rFonts w:cs="Arial"/>
                <w:sz w:val="20"/>
                <w:szCs w:val="20"/>
              </w:rPr>
              <w:t>16-</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3A6049" w:rsidRDefault="00E74A46">
            <w:pPr>
              <w:spacing w:after="0" w:line="240" w:lineRule="auto"/>
              <w:jc w:val="center"/>
              <w:rPr>
                <w:rFonts w:cs="Arial"/>
                <w:color w:val="000000"/>
                <w:sz w:val="20"/>
                <w:szCs w:val="20"/>
              </w:rPr>
            </w:pPr>
            <w:r w:rsidRPr="00E74A46">
              <w:rPr>
                <w:rFonts w:cs="Arial"/>
                <w:color w:val="000000"/>
                <w:sz w:val="20"/>
                <w:szCs w:val="20"/>
              </w:rPr>
              <w:t>MAATEC</w:t>
            </w:r>
          </w:p>
        </w:tc>
        <w:tc>
          <w:tcPr>
            <w:tcW w:w="1716" w:type="dxa"/>
            <w:tcBorders>
              <w:top w:val="single" w:sz="4" w:space="0" w:color="auto"/>
              <w:left w:val="nil"/>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sz w:val="20"/>
                <w:szCs w:val="20"/>
              </w:rPr>
            </w:pPr>
            <w:r w:rsidRPr="00E74A46">
              <w:rPr>
                <w:rFonts w:cs="Arial"/>
                <w:sz w:val="20"/>
                <w:szCs w:val="20"/>
              </w:rPr>
              <w:t>19</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A6049" w:rsidRDefault="00E74A46">
            <w:pPr>
              <w:jc w:val="center"/>
              <w:rPr>
                <w:rFonts w:cs="Arial"/>
                <w:color w:val="000000"/>
                <w:sz w:val="20"/>
                <w:szCs w:val="20"/>
              </w:rPr>
            </w:pPr>
            <w:r w:rsidRPr="00E74A46">
              <w:rPr>
                <w:rFonts w:cs="Arial"/>
                <w:color w:val="000000"/>
                <w:sz w:val="20"/>
                <w:szCs w:val="20"/>
              </w:rPr>
              <w:t>0,15</w:t>
            </w:r>
          </w:p>
        </w:tc>
      </w:tr>
      <w:tr w:rsidR="00AB4942" w:rsidRPr="008D2996" w:rsidTr="0015285A">
        <w:trPr>
          <w:trHeight w:val="300"/>
        </w:trPr>
        <w:tc>
          <w:tcPr>
            <w:tcW w:w="424" w:type="dxa"/>
            <w:tcBorders>
              <w:top w:val="single" w:sz="4" w:space="0" w:color="auto"/>
              <w:right w:val="single" w:sz="4" w:space="0" w:color="auto"/>
            </w:tcBorders>
            <w:shd w:val="clear" w:color="auto" w:fill="auto"/>
            <w:noWrap/>
            <w:vAlign w:val="center"/>
            <w:hideMark/>
          </w:tcPr>
          <w:p w:rsidR="003A6049" w:rsidRDefault="003A6049">
            <w:pPr>
              <w:spacing w:after="0" w:line="240" w:lineRule="auto"/>
              <w:jc w:val="center"/>
              <w:rPr>
                <w:rFonts w:cs="Arial"/>
                <w:sz w:val="20"/>
                <w:szCs w:val="20"/>
              </w:rPr>
            </w:pP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AB4942" w:rsidRPr="008D2996" w:rsidRDefault="00E74A46" w:rsidP="00B41EC6">
            <w:pPr>
              <w:spacing w:after="0" w:line="240" w:lineRule="auto"/>
              <w:jc w:val="center"/>
              <w:rPr>
                <w:rFonts w:cs="Arial"/>
                <w:b/>
                <w:bCs/>
                <w:color w:val="000000"/>
                <w:sz w:val="20"/>
                <w:szCs w:val="20"/>
              </w:rPr>
            </w:pPr>
            <w:r w:rsidRPr="00E74A46">
              <w:rPr>
                <w:rFonts w:cs="Arial"/>
                <w:b/>
                <w:bCs/>
                <w:color w:val="000000"/>
                <w:sz w:val="20"/>
                <w:szCs w:val="20"/>
              </w:rPr>
              <w:t>Total</w:t>
            </w:r>
          </w:p>
        </w:tc>
        <w:tc>
          <w:tcPr>
            <w:tcW w:w="1716" w:type="dxa"/>
            <w:tcBorders>
              <w:top w:val="single" w:sz="4" w:space="0" w:color="auto"/>
              <w:left w:val="nil"/>
              <w:bottom w:val="single" w:sz="4" w:space="0" w:color="auto"/>
              <w:right w:val="nil"/>
            </w:tcBorders>
            <w:shd w:val="clear" w:color="auto" w:fill="auto"/>
            <w:noWrap/>
            <w:vAlign w:val="center"/>
            <w:hideMark/>
          </w:tcPr>
          <w:p w:rsidR="00E24313" w:rsidRDefault="00E74A46">
            <w:pPr>
              <w:spacing w:after="0" w:line="240" w:lineRule="auto"/>
              <w:jc w:val="center"/>
              <w:rPr>
                <w:rFonts w:cs="Arial"/>
                <w:b/>
                <w:bCs/>
                <w:sz w:val="20"/>
                <w:szCs w:val="20"/>
              </w:rPr>
            </w:pPr>
            <w:r w:rsidRPr="00E74A46">
              <w:rPr>
                <w:rFonts w:cs="Arial"/>
                <w:b/>
                <w:bCs/>
                <w:sz w:val="20"/>
                <w:szCs w:val="20"/>
              </w:rPr>
              <w:t>12 873</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E24313" w:rsidRDefault="00E74A46" w:rsidP="00E24313">
            <w:pPr>
              <w:jc w:val="center"/>
              <w:rPr>
                <w:rFonts w:cs="Arial"/>
                <w:b/>
                <w:bCs/>
                <w:color w:val="000000"/>
                <w:sz w:val="20"/>
                <w:szCs w:val="20"/>
              </w:rPr>
            </w:pPr>
            <w:r w:rsidRPr="00E74A46">
              <w:rPr>
                <w:rFonts w:cs="Arial"/>
                <w:b/>
                <w:bCs/>
                <w:color w:val="000000"/>
                <w:sz w:val="20"/>
                <w:szCs w:val="20"/>
              </w:rPr>
              <w:t>100,00</w:t>
            </w:r>
          </w:p>
        </w:tc>
      </w:tr>
    </w:tbl>
    <w:p w:rsidR="00AB4942" w:rsidRPr="008D2996" w:rsidRDefault="00AB4942" w:rsidP="00AB4942">
      <w:pPr>
        <w:spacing w:before="120" w:after="0" w:line="240" w:lineRule="auto"/>
        <w:jc w:val="center"/>
        <w:rPr>
          <w:b/>
          <w:bCs/>
          <w:color w:val="000000"/>
          <w:sz w:val="18"/>
          <w:szCs w:val="18"/>
        </w:rPr>
      </w:pPr>
    </w:p>
    <w:p w:rsidR="00AB4942" w:rsidRPr="008D2996" w:rsidRDefault="00E74A46" w:rsidP="00AB4942">
      <w:pPr>
        <w:spacing w:before="120" w:after="0" w:line="240" w:lineRule="auto"/>
        <w:ind w:left="284"/>
        <w:rPr>
          <w:b/>
          <w:bCs/>
          <w:color w:val="000000"/>
          <w:sz w:val="18"/>
          <w:szCs w:val="18"/>
        </w:rPr>
      </w:pPr>
      <w:r w:rsidRPr="00E74A46">
        <w:rPr>
          <w:b/>
          <w:bCs/>
          <w:color w:val="000000"/>
          <w:sz w:val="18"/>
          <w:szCs w:val="18"/>
        </w:rPr>
        <w:t xml:space="preserve">           </w:t>
      </w:r>
    </w:p>
    <w:p w:rsidR="00AB4942" w:rsidRPr="008D2996" w:rsidRDefault="00AB4942" w:rsidP="00AB4942">
      <w:pPr>
        <w:spacing w:before="120" w:after="0" w:line="240" w:lineRule="auto"/>
        <w:ind w:left="284"/>
        <w:rPr>
          <w:b/>
          <w:bCs/>
          <w:color w:val="000000"/>
          <w:sz w:val="18"/>
          <w:szCs w:val="18"/>
        </w:rPr>
      </w:pPr>
    </w:p>
    <w:p w:rsidR="00AB4942" w:rsidRPr="008D2996" w:rsidRDefault="00AB4942" w:rsidP="00AB4942">
      <w:pPr>
        <w:spacing w:before="120" w:after="0" w:line="240" w:lineRule="auto"/>
        <w:ind w:left="284"/>
        <w:rPr>
          <w:b/>
          <w:bCs/>
          <w:color w:val="000000"/>
          <w:sz w:val="18"/>
          <w:szCs w:val="18"/>
        </w:rPr>
      </w:pPr>
    </w:p>
    <w:p w:rsidR="00AB4942" w:rsidRPr="008D2996" w:rsidRDefault="00AB4942" w:rsidP="00AB4942">
      <w:pPr>
        <w:spacing w:before="120" w:after="0" w:line="240" w:lineRule="auto"/>
        <w:ind w:left="284"/>
        <w:rPr>
          <w:b/>
          <w:bCs/>
          <w:color w:val="000000"/>
          <w:sz w:val="18"/>
          <w:szCs w:val="18"/>
        </w:rPr>
      </w:pPr>
    </w:p>
    <w:p w:rsidR="00AB4942" w:rsidRPr="008D2996" w:rsidRDefault="00AB4942" w:rsidP="00AB4942">
      <w:pPr>
        <w:spacing w:before="240" w:after="0"/>
        <w:ind w:left="425"/>
        <w:rPr>
          <w:b/>
          <w:bCs/>
          <w:color w:val="000000"/>
          <w:sz w:val="18"/>
          <w:szCs w:val="18"/>
        </w:rPr>
      </w:pPr>
    </w:p>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AB4942" w:rsidRPr="008D2996" w:rsidRDefault="00AB4942" w:rsidP="00AB4942"/>
    <w:p w:rsidR="00EB5BF9" w:rsidRDefault="00E74A46">
      <w:r w:rsidRPr="00E74A46">
        <w:t>Les quatre sociétés</w:t>
      </w:r>
      <w:r w:rsidR="002B2D43">
        <w:t xml:space="preserve"> </w:t>
      </w:r>
      <w:r w:rsidRPr="00E74A46">
        <w:t>[SAA, CNMA, CAAR, CAAT]</w:t>
      </w:r>
      <w:r w:rsidR="002B2D43">
        <w:t xml:space="preserve">, </w:t>
      </w:r>
      <w:r w:rsidR="001C3305" w:rsidRPr="00FB311C">
        <w:t>créées antérieurement à l</w:t>
      </w:r>
      <w:r w:rsidR="00E45768" w:rsidRPr="00E45768">
        <w:t>’ordonnanc</w:t>
      </w:r>
      <w:r w:rsidR="00FB311C" w:rsidRPr="00FB311C">
        <w:t>e</w:t>
      </w:r>
      <w:r w:rsidR="00FB311C">
        <w:t xml:space="preserve"> 95-07</w:t>
      </w:r>
      <w:r w:rsidR="002B2D43">
        <w:t xml:space="preserve">, </w:t>
      </w:r>
      <w:r w:rsidRPr="00E74A46">
        <w:t xml:space="preserve"> totalisent 78</w:t>
      </w:r>
      <w:r w:rsidR="00F77F54">
        <w:t>,7</w:t>
      </w:r>
      <w:r w:rsidRPr="00E74A46">
        <w:t xml:space="preserve">% de l’effectif total </w:t>
      </w:r>
      <w:r w:rsidR="00F77F54">
        <w:t xml:space="preserve">du secteur avec </w:t>
      </w:r>
      <w:r w:rsidR="00F77F54" w:rsidRPr="00E74A46">
        <w:t>10 130 salariés</w:t>
      </w:r>
      <w:r w:rsidRPr="00E74A46">
        <w:t xml:space="preserve">. </w:t>
      </w:r>
      <w:r w:rsidR="00F77F54">
        <w:t>A</w:t>
      </w:r>
      <w:r w:rsidR="00F77F54" w:rsidRPr="00E74A46">
        <w:t>vec 35,5%</w:t>
      </w:r>
      <w:r w:rsidR="00F77F54">
        <w:t>,</w:t>
      </w:r>
      <w:r w:rsidR="00F77F54" w:rsidRPr="00E74A46">
        <w:t xml:space="preserve"> </w:t>
      </w:r>
      <w:r w:rsidR="00F77F54">
        <w:t>l</w:t>
      </w:r>
      <w:r w:rsidR="00F77F54" w:rsidRPr="00E74A46">
        <w:t>e poids de l’effectif salarié de la SAA reste le plus élevé</w:t>
      </w:r>
      <w:r w:rsidR="00F77F54">
        <w:t>.</w:t>
      </w:r>
    </w:p>
    <w:p w:rsidR="00EB5BF9" w:rsidRDefault="00E74A46">
      <w:r w:rsidRPr="00E74A46">
        <w:t xml:space="preserve">L’effectif des </w:t>
      </w:r>
      <w:r w:rsidR="00B63E8A">
        <w:t>sept</w:t>
      </w:r>
      <w:r w:rsidR="00B63E8A" w:rsidRPr="00E74A46">
        <w:t xml:space="preserve"> </w:t>
      </w:r>
      <w:r w:rsidRPr="00E74A46">
        <w:t>sociétés à capitaux privés (2A, CIAR, TRUST, SALAMA, GAM, ALLIANCE et CARDIF) atteint 2 </w:t>
      </w:r>
      <w:r w:rsidR="00B63E8A" w:rsidRPr="00E74A46">
        <w:t>2</w:t>
      </w:r>
      <w:r w:rsidR="00B63E8A">
        <w:t>69</w:t>
      </w:r>
      <w:r w:rsidR="00B63E8A" w:rsidRPr="00E74A46">
        <w:t xml:space="preserve"> </w:t>
      </w:r>
      <w:r w:rsidRPr="00E74A46">
        <w:t>employés, soit 17</w:t>
      </w:r>
      <w:r w:rsidR="00B63E8A">
        <w:t>,6</w:t>
      </w:r>
      <w:r w:rsidRPr="00E74A46">
        <w:t>% du total.</w:t>
      </w:r>
    </w:p>
    <w:p w:rsidR="00EB5BF9" w:rsidRDefault="00EB5BF9"/>
    <w:p w:rsidR="00AB4942" w:rsidRPr="008D2996" w:rsidRDefault="00E74A46" w:rsidP="00AB4942">
      <w:pPr>
        <w:spacing w:after="0" w:line="240" w:lineRule="auto"/>
        <w:jc w:val="left"/>
        <w:rPr>
          <w:b/>
          <w:bCs/>
          <w:color w:val="000000"/>
          <w:sz w:val="18"/>
          <w:szCs w:val="18"/>
        </w:rPr>
      </w:pPr>
      <w:r w:rsidRPr="00E74A46">
        <w:rPr>
          <w:b/>
          <w:bCs/>
          <w:color w:val="000000"/>
          <w:sz w:val="18"/>
          <w:szCs w:val="18"/>
        </w:rPr>
        <w:br w:type="page"/>
      </w:r>
    </w:p>
    <w:tbl>
      <w:tblPr>
        <w:tblW w:w="9840" w:type="dxa"/>
        <w:tblInd w:w="70" w:type="dxa"/>
        <w:tblCellMar>
          <w:left w:w="70" w:type="dxa"/>
          <w:right w:w="70" w:type="dxa"/>
        </w:tblCellMar>
        <w:tblLook w:val="04A0"/>
      </w:tblPr>
      <w:tblGrid>
        <w:gridCol w:w="2365"/>
        <w:gridCol w:w="943"/>
        <w:gridCol w:w="1152"/>
        <w:gridCol w:w="1152"/>
        <w:gridCol w:w="1152"/>
        <w:gridCol w:w="1152"/>
        <w:gridCol w:w="1924"/>
      </w:tblGrid>
      <w:tr w:rsidR="003F07AB" w:rsidRPr="003F07AB" w:rsidTr="003F07AB">
        <w:trPr>
          <w:trHeight w:val="300"/>
        </w:trPr>
        <w:tc>
          <w:tcPr>
            <w:tcW w:w="9840" w:type="dxa"/>
            <w:gridSpan w:val="7"/>
            <w:tcBorders>
              <w:top w:val="nil"/>
              <w:left w:val="nil"/>
              <w:bottom w:val="nil"/>
              <w:right w:val="nil"/>
            </w:tcBorders>
            <w:shd w:val="clear" w:color="auto" w:fill="auto"/>
            <w:noWrap/>
            <w:vAlign w:val="center"/>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lastRenderedPageBreak/>
              <w:t>Tableau n°10.41 bis: Evolution des effectifs employés par les sociétés</w:t>
            </w:r>
          </w:p>
        </w:tc>
      </w:tr>
      <w:tr w:rsidR="003F07AB" w:rsidRPr="003F07AB" w:rsidTr="0015285A">
        <w:trPr>
          <w:trHeight w:val="270"/>
        </w:trPr>
        <w:tc>
          <w:tcPr>
            <w:tcW w:w="2365"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left"/>
              <w:rPr>
                <w:rFonts w:ascii="Arial" w:hAnsi="Arial" w:cs="Arial"/>
                <w:sz w:val="20"/>
                <w:szCs w:val="20"/>
              </w:rPr>
            </w:pPr>
            <w:r w:rsidRPr="003F07AB">
              <w:rPr>
                <w:rFonts w:ascii="Arial" w:hAnsi="Arial" w:cs="Arial"/>
                <w:sz w:val="20"/>
                <w:szCs w:val="20"/>
              </w:rPr>
              <w:t> </w:t>
            </w:r>
          </w:p>
        </w:tc>
        <w:tc>
          <w:tcPr>
            <w:tcW w:w="943"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sz w:val="20"/>
                <w:szCs w:val="20"/>
              </w:rPr>
            </w:pPr>
            <w:r w:rsidRPr="003F07AB">
              <w:rPr>
                <w:rFonts w:ascii="Arial" w:hAnsi="Arial" w:cs="Arial"/>
                <w:sz w:val="20"/>
                <w:szCs w:val="20"/>
              </w:rPr>
              <w:t> </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FF0000"/>
                <w:sz w:val="20"/>
                <w:szCs w:val="20"/>
              </w:rPr>
            </w:pPr>
            <w:r w:rsidRPr="003F07AB">
              <w:rPr>
                <w:rFonts w:ascii="Arial" w:hAnsi="Arial" w:cs="Arial"/>
                <w:color w:val="FF0000"/>
                <w:sz w:val="20"/>
                <w:szCs w:val="20"/>
              </w:rPr>
              <w:t> </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sz w:val="20"/>
                <w:szCs w:val="20"/>
              </w:rPr>
            </w:pPr>
            <w:r w:rsidRPr="003F07AB">
              <w:rPr>
                <w:rFonts w:ascii="Arial" w:hAnsi="Arial" w:cs="Arial"/>
                <w:sz w:val="20"/>
                <w:szCs w:val="20"/>
              </w:rPr>
              <w:t> </w:t>
            </w:r>
          </w:p>
        </w:tc>
        <w:tc>
          <w:tcPr>
            <w:tcW w:w="1152" w:type="dxa"/>
            <w:tcBorders>
              <w:top w:val="nil"/>
              <w:left w:val="nil"/>
              <w:bottom w:val="nil"/>
              <w:right w:val="nil"/>
            </w:tcBorders>
            <w:shd w:val="clear" w:color="auto" w:fill="auto"/>
            <w:noWrap/>
            <w:vAlign w:val="bottom"/>
            <w:hideMark/>
          </w:tcPr>
          <w:p w:rsidR="003F07AB" w:rsidRPr="003F07AB" w:rsidRDefault="003F07AB" w:rsidP="003F07AB">
            <w:pPr>
              <w:spacing w:after="0" w:line="240" w:lineRule="auto"/>
              <w:jc w:val="left"/>
              <w:rPr>
                <w:rFonts w:ascii="Arial" w:hAnsi="Arial" w:cs="Arial"/>
                <w:sz w:val="20"/>
                <w:szCs w:val="20"/>
              </w:rPr>
            </w:pPr>
          </w:p>
        </w:tc>
        <w:tc>
          <w:tcPr>
            <w:tcW w:w="1152" w:type="dxa"/>
            <w:tcBorders>
              <w:top w:val="nil"/>
              <w:left w:val="nil"/>
              <w:bottom w:val="nil"/>
              <w:right w:val="nil"/>
            </w:tcBorders>
            <w:shd w:val="clear" w:color="auto" w:fill="auto"/>
            <w:noWrap/>
            <w:vAlign w:val="bottom"/>
            <w:hideMark/>
          </w:tcPr>
          <w:p w:rsidR="003F07AB" w:rsidRPr="003F07AB" w:rsidRDefault="003F07AB" w:rsidP="003F07AB">
            <w:pPr>
              <w:spacing w:after="0" w:line="240" w:lineRule="auto"/>
              <w:jc w:val="left"/>
              <w:rPr>
                <w:rFonts w:ascii="Arial" w:hAnsi="Arial" w:cs="Arial"/>
                <w:sz w:val="20"/>
                <w:szCs w:val="20"/>
              </w:rPr>
            </w:pPr>
          </w:p>
        </w:tc>
        <w:tc>
          <w:tcPr>
            <w:tcW w:w="1924" w:type="dxa"/>
            <w:tcBorders>
              <w:top w:val="nil"/>
              <w:left w:val="nil"/>
              <w:bottom w:val="nil"/>
              <w:right w:val="nil"/>
            </w:tcBorders>
            <w:shd w:val="clear" w:color="auto" w:fill="auto"/>
            <w:noWrap/>
            <w:vAlign w:val="bottom"/>
            <w:hideMark/>
          </w:tcPr>
          <w:p w:rsidR="003F07AB" w:rsidRPr="003F07AB" w:rsidRDefault="003F07AB" w:rsidP="003F07AB">
            <w:pPr>
              <w:spacing w:after="0" w:line="240" w:lineRule="auto"/>
              <w:jc w:val="left"/>
              <w:rPr>
                <w:rFonts w:ascii="Arial" w:hAnsi="Arial" w:cs="Arial"/>
                <w:sz w:val="20"/>
                <w:szCs w:val="20"/>
              </w:rPr>
            </w:pPr>
          </w:p>
        </w:tc>
      </w:tr>
      <w:tr w:rsidR="003F07AB" w:rsidRPr="003F07AB" w:rsidTr="0015285A">
        <w:trPr>
          <w:trHeight w:val="270"/>
        </w:trPr>
        <w:tc>
          <w:tcPr>
            <w:tcW w:w="23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07AB" w:rsidRPr="003F07AB" w:rsidRDefault="003F07AB" w:rsidP="003F07AB">
            <w:pPr>
              <w:spacing w:after="0" w:line="240" w:lineRule="auto"/>
              <w:jc w:val="center"/>
              <w:rPr>
                <w:rFonts w:ascii="Arial" w:hAnsi="Arial" w:cs="Arial"/>
                <w:b/>
                <w:bCs/>
                <w:color w:val="000000"/>
                <w:sz w:val="20"/>
                <w:szCs w:val="20"/>
              </w:rPr>
            </w:pPr>
            <w:r w:rsidRPr="003F07AB">
              <w:rPr>
                <w:rFonts w:ascii="Arial" w:hAnsi="Arial" w:cs="Arial"/>
                <w:b/>
                <w:bCs/>
                <w:color w:val="000000"/>
                <w:sz w:val="20"/>
                <w:szCs w:val="20"/>
              </w:rPr>
              <w:t>Compagnie</w:t>
            </w:r>
          </w:p>
        </w:tc>
        <w:tc>
          <w:tcPr>
            <w:tcW w:w="943" w:type="dxa"/>
            <w:tcBorders>
              <w:top w:val="nil"/>
              <w:left w:val="single" w:sz="8" w:space="0" w:color="auto"/>
              <w:bottom w:val="single" w:sz="4" w:space="0" w:color="auto"/>
              <w:right w:val="nil"/>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2006</w:t>
            </w:r>
          </w:p>
        </w:tc>
        <w:tc>
          <w:tcPr>
            <w:tcW w:w="1152" w:type="dxa"/>
            <w:tcBorders>
              <w:top w:val="nil"/>
              <w:left w:val="nil"/>
              <w:bottom w:val="single" w:sz="4" w:space="0" w:color="auto"/>
              <w:right w:val="nil"/>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2007</w:t>
            </w:r>
          </w:p>
        </w:tc>
        <w:tc>
          <w:tcPr>
            <w:tcW w:w="1152" w:type="dxa"/>
            <w:tcBorders>
              <w:top w:val="nil"/>
              <w:left w:val="nil"/>
              <w:bottom w:val="single" w:sz="4" w:space="0" w:color="auto"/>
              <w:right w:val="nil"/>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2008</w:t>
            </w:r>
          </w:p>
        </w:tc>
        <w:tc>
          <w:tcPr>
            <w:tcW w:w="1152" w:type="dxa"/>
            <w:tcBorders>
              <w:top w:val="single" w:sz="8" w:space="0" w:color="auto"/>
              <w:left w:val="nil"/>
              <w:bottom w:val="single" w:sz="4" w:space="0" w:color="auto"/>
              <w:right w:val="nil"/>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2009</w:t>
            </w:r>
          </w:p>
        </w:tc>
        <w:tc>
          <w:tcPr>
            <w:tcW w:w="1152" w:type="dxa"/>
            <w:tcBorders>
              <w:top w:val="single" w:sz="8" w:space="0" w:color="auto"/>
              <w:left w:val="nil"/>
              <w:bottom w:val="single" w:sz="4" w:space="0" w:color="auto"/>
              <w:right w:val="nil"/>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2010</w:t>
            </w:r>
          </w:p>
        </w:tc>
        <w:tc>
          <w:tcPr>
            <w:tcW w:w="1924" w:type="dxa"/>
            <w:tcBorders>
              <w:top w:val="single" w:sz="8" w:space="0" w:color="auto"/>
              <w:left w:val="nil"/>
              <w:bottom w:val="single" w:sz="4" w:space="0" w:color="auto"/>
              <w:right w:val="single" w:sz="8" w:space="0" w:color="auto"/>
            </w:tcBorders>
            <w:shd w:val="clear" w:color="auto" w:fill="auto"/>
            <w:noWrap/>
            <w:vAlign w:val="center"/>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Var (09/10)</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1-SAA</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3 680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3 983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4 197</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4 446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4 574</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2,88%</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2-CNMA</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1 968</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2 160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2 236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2 255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2 215</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-1,77%</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3-CAAR</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1 680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1 645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1 683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1 730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1 783</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3,06%</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4-CAAT</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1 498</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1 525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1 535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1 543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1 558</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0,97%</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5-2A</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290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305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303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307</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317</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3,26%</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6-CIAR</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259</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310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332</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340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355</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4,41%</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7-CCR</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105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107</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97</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92</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-5,15%</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8-TRUST</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94</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277</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173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174</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178</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2,30%</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9-SALAMA</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136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150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180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199</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246</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23,62%</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10-CASH</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131</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185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204</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236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275</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16,53%</w:t>
            </w:r>
          </w:p>
        </w:tc>
      </w:tr>
      <w:tr w:rsidR="003F07AB" w:rsidRPr="003F07AB" w:rsidTr="0015285A">
        <w:trPr>
          <w:trHeight w:val="300"/>
        </w:trPr>
        <w:tc>
          <w:tcPr>
            <w:tcW w:w="2365" w:type="dxa"/>
            <w:tcBorders>
              <w:top w:val="nil"/>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11-SGCI</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44</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39</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41</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-4,65%</w:t>
            </w:r>
          </w:p>
        </w:tc>
      </w:tr>
      <w:tr w:rsidR="003F07AB" w:rsidRPr="003F07AB" w:rsidTr="0015285A">
        <w:trPr>
          <w:trHeight w:val="300"/>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12-CAGEX</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32</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42</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42</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47</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2,17%</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13-GAM</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540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431</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706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783</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10,91%</w:t>
            </w:r>
          </w:p>
        </w:tc>
      </w:tr>
      <w:tr w:rsidR="003F07AB" w:rsidRPr="003F07AB" w:rsidTr="0015285A">
        <w:trPr>
          <w:trHeight w:val="300"/>
        </w:trPr>
        <w:tc>
          <w:tcPr>
            <w:tcW w:w="2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14-ALLIANCE</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126</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225</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290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370</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368</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-0,54%</w:t>
            </w:r>
          </w:p>
        </w:tc>
      </w:tr>
      <w:tr w:rsidR="003F07AB" w:rsidRPr="003F07AB" w:rsidTr="0015285A">
        <w:trPr>
          <w:trHeight w:val="225"/>
        </w:trPr>
        <w:tc>
          <w:tcPr>
            <w:tcW w:w="2365" w:type="dxa"/>
            <w:tcBorders>
              <w:top w:val="nil"/>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16-CARDIF</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23</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22</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-4,35%</w:t>
            </w:r>
          </w:p>
        </w:tc>
      </w:tr>
      <w:tr w:rsidR="003F07AB" w:rsidRPr="003F07AB" w:rsidTr="0015285A">
        <w:trPr>
          <w:trHeight w:val="225"/>
        </w:trPr>
        <w:tc>
          <w:tcPr>
            <w:tcW w:w="2365" w:type="dxa"/>
            <w:tcBorders>
              <w:top w:val="single" w:sz="4" w:space="0" w:color="auto"/>
              <w:left w:val="single" w:sz="8" w:space="0" w:color="auto"/>
              <w:bottom w:val="nil"/>
              <w:right w:val="single" w:sz="8" w:space="0" w:color="auto"/>
            </w:tcBorders>
            <w:shd w:val="clear" w:color="auto" w:fill="auto"/>
            <w:noWrap/>
            <w:vAlign w:val="bottom"/>
            <w:hideMark/>
          </w:tcPr>
          <w:p w:rsidR="003F07AB" w:rsidRPr="003F07AB" w:rsidRDefault="003F07AB" w:rsidP="003F07AB">
            <w:pPr>
              <w:spacing w:after="0" w:line="240" w:lineRule="auto"/>
              <w:jc w:val="left"/>
              <w:rPr>
                <w:rFonts w:ascii="Arial" w:hAnsi="Arial" w:cs="Arial"/>
                <w:color w:val="000000"/>
                <w:sz w:val="20"/>
                <w:szCs w:val="20"/>
              </w:rPr>
            </w:pPr>
            <w:r w:rsidRPr="003F07AB">
              <w:rPr>
                <w:rFonts w:ascii="Arial" w:hAnsi="Arial" w:cs="Arial"/>
                <w:color w:val="000000"/>
                <w:sz w:val="20"/>
                <w:szCs w:val="20"/>
              </w:rPr>
              <w:t>17-MAATEC</w:t>
            </w:r>
          </w:p>
        </w:tc>
        <w:tc>
          <w:tcPr>
            <w:tcW w:w="943" w:type="dxa"/>
            <w:tcBorders>
              <w:top w:val="nil"/>
              <w:left w:val="single" w:sz="8"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 </w:t>
            </w:r>
          </w:p>
        </w:tc>
        <w:tc>
          <w:tcPr>
            <w:tcW w:w="1152"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color w:val="000000"/>
                <w:sz w:val="20"/>
                <w:szCs w:val="20"/>
              </w:rPr>
            </w:pPr>
            <w:r w:rsidRPr="003F07AB">
              <w:rPr>
                <w:rFonts w:ascii="Arial" w:hAnsi="Arial" w:cs="Arial"/>
                <w:color w:val="000000"/>
                <w:sz w:val="20"/>
                <w:szCs w:val="20"/>
              </w:rPr>
              <w:t>19</w:t>
            </w:r>
          </w:p>
        </w:tc>
        <w:tc>
          <w:tcPr>
            <w:tcW w:w="1924" w:type="dxa"/>
            <w:tcBorders>
              <w:top w:val="nil"/>
              <w:left w:val="nil"/>
              <w:bottom w:val="single" w:sz="4"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color w:val="000000"/>
                <w:sz w:val="20"/>
                <w:szCs w:val="20"/>
              </w:rPr>
            </w:pPr>
            <w:r w:rsidRPr="003F07AB">
              <w:rPr>
                <w:rFonts w:ascii="Arial" w:hAnsi="Arial" w:cs="Arial"/>
                <w:color w:val="000000"/>
                <w:sz w:val="20"/>
                <w:szCs w:val="20"/>
              </w:rPr>
              <w:t>13,00%</w:t>
            </w:r>
          </w:p>
        </w:tc>
      </w:tr>
      <w:tr w:rsidR="003F07AB" w:rsidRPr="003F07AB" w:rsidTr="0015285A">
        <w:trPr>
          <w:trHeight w:val="270"/>
        </w:trPr>
        <w:tc>
          <w:tcPr>
            <w:tcW w:w="236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b/>
                <w:bCs/>
                <w:color w:val="000000"/>
                <w:sz w:val="20"/>
                <w:szCs w:val="20"/>
              </w:rPr>
            </w:pPr>
            <w:r w:rsidRPr="003F07AB">
              <w:rPr>
                <w:rFonts w:ascii="Arial" w:hAnsi="Arial" w:cs="Arial"/>
                <w:b/>
                <w:bCs/>
                <w:color w:val="000000"/>
                <w:sz w:val="20"/>
                <w:szCs w:val="20"/>
              </w:rPr>
              <w:t xml:space="preserve"> Total  </w:t>
            </w:r>
          </w:p>
        </w:tc>
        <w:tc>
          <w:tcPr>
            <w:tcW w:w="943" w:type="dxa"/>
            <w:tcBorders>
              <w:top w:val="nil"/>
              <w:left w:val="single" w:sz="8" w:space="0" w:color="auto"/>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9 938</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11 492</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11 752</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12 515</w:t>
            </w:r>
          </w:p>
        </w:tc>
        <w:tc>
          <w:tcPr>
            <w:tcW w:w="1152" w:type="dxa"/>
            <w:tcBorders>
              <w:top w:val="nil"/>
              <w:left w:val="nil"/>
              <w:bottom w:val="single" w:sz="8" w:space="0" w:color="auto"/>
              <w:right w:val="nil"/>
            </w:tcBorders>
            <w:shd w:val="clear" w:color="auto" w:fill="auto"/>
            <w:noWrap/>
            <w:vAlign w:val="bottom"/>
            <w:hideMark/>
          </w:tcPr>
          <w:p w:rsidR="003F07AB" w:rsidRPr="003F07AB" w:rsidRDefault="003F07AB" w:rsidP="003F07AB">
            <w:pPr>
              <w:spacing w:after="0" w:line="240" w:lineRule="auto"/>
              <w:jc w:val="right"/>
              <w:rPr>
                <w:rFonts w:ascii="Arial" w:hAnsi="Arial" w:cs="Arial"/>
                <w:b/>
                <w:bCs/>
                <w:color w:val="000000"/>
                <w:sz w:val="20"/>
                <w:szCs w:val="20"/>
              </w:rPr>
            </w:pPr>
            <w:r w:rsidRPr="003F07AB">
              <w:rPr>
                <w:rFonts w:ascii="Arial" w:hAnsi="Arial" w:cs="Arial"/>
                <w:b/>
                <w:bCs/>
                <w:color w:val="000000"/>
                <w:sz w:val="20"/>
                <w:szCs w:val="20"/>
              </w:rPr>
              <w:t>12 873</w:t>
            </w:r>
          </w:p>
        </w:tc>
        <w:tc>
          <w:tcPr>
            <w:tcW w:w="1924" w:type="dxa"/>
            <w:tcBorders>
              <w:top w:val="nil"/>
              <w:left w:val="nil"/>
              <w:bottom w:val="single" w:sz="8" w:space="0" w:color="auto"/>
              <w:right w:val="single" w:sz="8"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b/>
                <w:bCs/>
                <w:color w:val="000000"/>
                <w:sz w:val="20"/>
                <w:szCs w:val="20"/>
              </w:rPr>
            </w:pPr>
            <w:r w:rsidRPr="003F07AB">
              <w:rPr>
                <w:rFonts w:ascii="Arial" w:hAnsi="Arial" w:cs="Arial"/>
                <w:b/>
                <w:bCs/>
                <w:color w:val="000000"/>
                <w:sz w:val="20"/>
                <w:szCs w:val="20"/>
              </w:rPr>
              <w:t>2,86%</w:t>
            </w:r>
          </w:p>
        </w:tc>
      </w:tr>
    </w:tbl>
    <w:p w:rsidR="00B41EC6" w:rsidRDefault="00B41EC6" w:rsidP="00AB4942">
      <w:pPr>
        <w:spacing w:before="240" w:after="0"/>
        <w:jc w:val="left"/>
        <w:rPr>
          <w:bCs/>
          <w:color w:val="000000"/>
          <w:szCs w:val="18"/>
        </w:rPr>
      </w:pPr>
    </w:p>
    <w:p w:rsidR="00AB4942" w:rsidRPr="008D2996" w:rsidRDefault="00E74A46" w:rsidP="00AB4942">
      <w:pPr>
        <w:spacing w:before="240" w:after="0"/>
        <w:jc w:val="left"/>
        <w:rPr>
          <w:bCs/>
          <w:color w:val="000000"/>
          <w:szCs w:val="18"/>
        </w:rPr>
      </w:pPr>
      <w:r w:rsidRPr="00E74A46">
        <w:rPr>
          <w:bCs/>
          <w:color w:val="000000"/>
          <w:szCs w:val="18"/>
        </w:rPr>
        <w:t>L’effectif enregistré en 2010 est de 12 873 personnes, comparé à l’année 2009 l’effectif a connu une augmentation de 358  personnes soit un taux de  2,</w:t>
      </w:r>
      <w:r w:rsidR="00B63E8A">
        <w:rPr>
          <w:bCs/>
          <w:color w:val="000000"/>
          <w:szCs w:val="18"/>
        </w:rPr>
        <w:t>9</w:t>
      </w:r>
      <w:r w:rsidRPr="00E74A46">
        <w:rPr>
          <w:bCs/>
          <w:color w:val="000000"/>
          <w:szCs w:val="18"/>
        </w:rPr>
        <w:t xml:space="preserve">% </w:t>
      </w:r>
    </w:p>
    <w:p w:rsidR="003A6049" w:rsidRDefault="00E74A46">
      <w:pPr>
        <w:rPr>
          <w:b/>
          <w:bCs/>
          <w:color w:val="000000"/>
        </w:rPr>
      </w:pPr>
      <w:r w:rsidRPr="00E74A46">
        <w:rPr>
          <w:b/>
          <w:bCs/>
          <w:color w:val="000000"/>
        </w:rPr>
        <w:t>Graphe n°10.22 : Répartition des effectifs employés par société d’assurance 2010</w:t>
      </w:r>
    </w:p>
    <w:p w:rsidR="00AB4942" w:rsidRPr="008D2996" w:rsidRDefault="00670B8C" w:rsidP="00AB4942">
      <w:pPr>
        <w:jc w:val="center"/>
        <w:rPr>
          <w:b/>
          <w:bCs/>
          <w:color w:val="000000"/>
        </w:rPr>
      </w:pPr>
      <w:r>
        <w:rPr>
          <w:b/>
          <w:bCs/>
          <w:noProof/>
          <w:color w:val="000000"/>
        </w:rPr>
        <w:drawing>
          <wp:inline distT="0" distB="0" distL="0" distR="0">
            <wp:extent cx="6073140" cy="3213100"/>
            <wp:effectExtent l="19050" t="0" r="3810" b="0"/>
            <wp:docPr id="22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B4942" w:rsidRPr="008D2996" w:rsidRDefault="00AB4942" w:rsidP="00AB4942">
      <w:pPr>
        <w:jc w:val="center"/>
      </w:pPr>
    </w:p>
    <w:p w:rsidR="00AB4942" w:rsidRPr="008D2996" w:rsidRDefault="00E74A46" w:rsidP="00AB4942">
      <w:pPr>
        <w:pStyle w:val="Titre3"/>
      </w:pPr>
      <w:bookmarkStart w:id="535" w:name="_Toc326156022"/>
      <w:bookmarkStart w:id="536" w:name="_Toc327883456"/>
      <w:bookmarkStart w:id="537" w:name="_Toc327883636"/>
      <w:bookmarkStart w:id="538" w:name="_Toc327883982"/>
      <w:bookmarkStart w:id="539" w:name="_Toc327885049"/>
      <w:bookmarkStart w:id="540" w:name="_Toc327885634"/>
      <w:bookmarkStart w:id="541" w:name="_Toc327916561"/>
      <w:r w:rsidRPr="00E74A46">
        <w:lastRenderedPageBreak/>
        <w:t>Effectifs des agents généraux</w:t>
      </w:r>
      <w:bookmarkEnd w:id="535"/>
      <w:bookmarkEnd w:id="536"/>
      <w:bookmarkEnd w:id="537"/>
      <w:bookmarkEnd w:id="538"/>
      <w:bookmarkEnd w:id="539"/>
      <w:bookmarkEnd w:id="540"/>
      <w:bookmarkEnd w:id="541"/>
      <w:r w:rsidRPr="00E74A46">
        <w:t xml:space="preserve">  </w:t>
      </w:r>
    </w:p>
    <w:p w:rsidR="00AB4942" w:rsidRPr="008D2996" w:rsidRDefault="00E74A46" w:rsidP="00AB4942">
      <w:pPr>
        <w:rPr>
          <w:b/>
          <w:bCs/>
          <w:color w:val="FF0000"/>
          <w:sz w:val="20"/>
          <w:szCs w:val="20"/>
        </w:rPr>
      </w:pPr>
      <w:r w:rsidRPr="00E74A46">
        <w:t xml:space="preserve">Les </w:t>
      </w:r>
      <w:r w:rsidR="00CA7734">
        <w:t>a</w:t>
      </w:r>
      <w:r w:rsidRPr="00E74A46">
        <w:t>gents généraux agréés sont au nombre de 6</w:t>
      </w:r>
      <w:r w:rsidR="00D65029">
        <w:t>25</w:t>
      </w:r>
      <w:r w:rsidRPr="00E74A46">
        <w:t xml:space="preserve"> en 2010 contre </w:t>
      </w:r>
      <w:r w:rsidR="00D4603E">
        <w:t>601</w:t>
      </w:r>
      <w:r w:rsidRPr="00E74A46">
        <w:t xml:space="preserve"> </w:t>
      </w:r>
      <w:r w:rsidR="00BC606C">
        <w:t>l’année précédente</w:t>
      </w:r>
      <w:r w:rsidRPr="00E74A46">
        <w:t>. Ne disposant pas d’information sur leurs effectifs salariés nous les estimons</w:t>
      </w:r>
      <w:r>
        <w:rPr>
          <w:rStyle w:val="Appelnotedebasdep"/>
        </w:rPr>
        <w:footnoteReference w:id="17"/>
      </w:r>
      <w:r w:rsidRPr="00E74A46">
        <w:t xml:space="preserve"> à environ </w:t>
      </w:r>
      <w:r w:rsidR="00CA7734">
        <w:t xml:space="preserve">1 </w:t>
      </w:r>
      <w:r w:rsidRPr="00E74A46">
        <w:t>353 salariés à fin 2010. Ils étaient environ 1 170 salariés en 2009 soit une hausse de 15,6%.</w:t>
      </w:r>
      <w:r w:rsidRPr="00E74A46">
        <w:rPr>
          <w:b/>
          <w:bCs/>
          <w:color w:val="FF0000"/>
          <w:sz w:val="20"/>
          <w:szCs w:val="20"/>
        </w:rPr>
        <w:t xml:space="preserve"> </w:t>
      </w:r>
    </w:p>
    <w:p w:rsidR="00AB4942" w:rsidRDefault="00E74A46" w:rsidP="00AB4942">
      <w:pPr>
        <w:spacing w:before="240" w:after="0"/>
        <w:ind w:left="425"/>
        <w:rPr>
          <w:b/>
          <w:bCs/>
          <w:color w:val="000000"/>
          <w:sz w:val="18"/>
          <w:szCs w:val="18"/>
        </w:rPr>
      </w:pPr>
      <w:r w:rsidRPr="00E74A46">
        <w:rPr>
          <w:b/>
          <w:bCs/>
          <w:color w:val="000000"/>
          <w:sz w:val="18"/>
          <w:szCs w:val="18"/>
        </w:rPr>
        <w:t xml:space="preserve">                 Tableau n° 10.42 : Evolution des effectifs employés par les agents généraux</w:t>
      </w:r>
    </w:p>
    <w:tbl>
      <w:tblPr>
        <w:tblW w:w="6511" w:type="dxa"/>
        <w:jc w:val="center"/>
        <w:tblInd w:w="70" w:type="dxa"/>
        <w:tblCellMar>
          <w:left w:w="70" w:type="dxa"/>
          <w:right w:w="70" w:type="dxa"/>
        </w:tblCellMar>
        <w:tblLook w:val="04A0"/>
      </w:tblPr>
      <w:tblGrid>
        <w:gridCol w:w="1836"/>
        <w:gridCol w:w="609"/>
        <w:gridCol w:w="609"/>
        <w:gridCol w:w="609"/>
        <w:gridCol w:w="776"/>
        <w:gridCol w:w="856"/>
        <w:gridCol w:w="1216"/>
      </w:tblGrid>
      <w:tr w:rsidR="003F07AB" w:rsidRPr="003F07AB" w:rsidTr="0015285A">
        <w:trPr>
          <w:trHeight w:val="420"/>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DB3E8E" w:rsidP="003F07AB">
            <w:pPr>
              <w:spacing w:after="0" w:line="240" w:lineRule="auto"/>
              <w:jc w:val="left"/>
              <w:rPr>
                <w:rFonts w:cs="Arial"/>
                <w:b/>
                <w:bCs/>
                <w:sz w:val="20"/>
                <w:szCs w:val="20"/>
              </w:rPr>
            </w:pPr>
            <w:r>
              <w:rPr>
                <w:rFonts w:cs="Arial"/>
                <w:b/>
                <w:bCs/>
                <w:sz w:val="20"/>
                <w:szCs w:val="20"/>
              </w:rPr>
              <w:t>SOCIÉTÉS</w:t>
            </w:r>
          </w:p>
        </w:tc>
        <w:tc>
          <w:tcPr>
            <w:tcW w:w="609" w:type="dxa"/>
            <w:tcBorders>
              <w:top w:val="single" w:sz="4" w:space="0" w:color="auto"/>
              <w:left w:val="single" w:sz="4" w:space="0" w:color="auto"/>
              <w:bottom w:val="nil"/>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2006</w:t>
            </w:r>
          </w:p>
        </w:tc>
        <w:tc>
          <w:tcPr>
            <w:tcW w:w="609" w:type="dxa"/>
            <w:tcBorders>
              <w:top w:val="single" w:sz="4" w:space="0" w:color="auto"/>
              <w:left w:val="nil"/>
              <w:bottom w:val="nil"/>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2007</w:t>
            </w:r>
          </w:p>
        </w:tc>
        <w:tc>
          <w:tcPr>
            <w:tcW w:w="609" w:type="dxa"/>
            <w:tcBorders>
              <w:top w:val="single" w:sz="4" w:space="0" w:color="auto"/>
              <w:left w:val="nil"/>
              <w:bottom w:val="nil"/>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2008</w:t>
            </w:r>
          </w:p>
        </w:tc>
        <w:tc>
          <w:tcPr>
            <w:tcW w:w="776" w:type="dxa"/>
            <w:tcBorders>
              <w:top w:val="single" w:sz="4" w:space="0" w:color="auto"/>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2009</w:t>
            </w:r>
          </w:p>
        </w:tc>
        <w:tc>
          <w:tcPr>
            <w:tcW w:w="856" w:type="dxa"/>
            <w:tcBorders>
              <w:top w:val="single" w:sz="4" w:space="0" w:color="auto"/>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2010</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right"/>
              <w:rPr>
                <w:rFonts w:cs="Arial"/>
                <w:b/>
                <w:bCs/>
                <w:sz w:val="20"/>
                <w:szCs w:val="20"/>
              </w:rPr>
            </w:pPr>
            <w:r w:rsidRPr="003F07AB">
              <w:rPr>
                <w:rFonts w:cs="Arial"/>
                <w:b/>
                <w:bCs/>
                <w:sz w:val="20"/>
                <w:szCs w:val="20"/>
              </w:rPr>
              <w:t>Var</w:t>
            </w:r>
            <w:r>
              <w:rPr>
                <w:rFonts w:cs="Arial"/>
                <w:b/>
                <w:bCs/>
                <w:sz w:val="20"/>
                <w:szCs w:val="20"/>
              </w:rPr>
              <w:t xml:space="preserve"> </w:t>
            </w:r>
            <w:r w:rsidRPr="003F07AB">
              <w:rPr>
                <w:rFonts w:cs="Arial"/>
                <w:b/>
                <w:bCs/>
                <w:sz w:val="20"/>
                <w:szCs w:val="20"/>
              </w:rPr>
              <w:t>(09/10)</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CAAR*</w:t>
            </w:r>
          </w:p>
        </w:tc>
        <w:tc>
          <w:tcPr>
            <w:tcW w:w="609" w:type="dxa"/>
            <w:tcBorders>
              <w:top w:val="single" w:sz="4" w:space="0" w:color="auto"/>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154</w:t>
            </w:r>
          </w:p>
        </w:tc>
        <w:tc>
          <w:tcPr>
            <w:tcW w:w="609" w:type="dxa"/>
            <w:tcBorders>
              <w:top w:val="single" w:sz="4" w:space="0" w:color="auto"/>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128</w:t>
            </w:r>
          </w:p>
        </w:tc>
        <w:tc>
          <w:tcPr>
            <w:tcW w:w="609" w:type="dxa"/>
            <w:tcBorders>
              <w:top w:val="single" w:sz="4" w:space="0" w:color="auto"/>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149</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143</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133</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-7,0%</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SAA*</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304</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170</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186</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182</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308</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69,2%</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2A</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92</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88</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84</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108</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84</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-22,2%</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CIAR</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83</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83</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122</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192</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310</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61,5%</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CAAT</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82</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80</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86</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88</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80</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-9,1%</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TRUST*</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62</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60</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56</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125</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86</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-31,2%</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SALAMA</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34</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302</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138</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164</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166</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1,2%</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GAM</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 </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 </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 </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78</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64</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-17,9%</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ALLIANCE</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20</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40</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50</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82</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114</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39,0%</w:t>
            </w:r>
          </w:p>
        </w:tc>
      </w:tr>
      <w:tr w:rsidR="003F07AB" w:rsidRPr="003F07AB" w:rsidTr="0015285A">
        <w:trPr>
          <w:trHeight w:val="31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sz w:val="20"/>
                <w:szCs w:val="20"/>
              </w:rPr>
            </w:pPr>
            <w:r w:rsidRPr="003F07AB">
              <w:rPr>
                <w:rFonts w:cs="Arial"/>
                <w:sz w:val="20"/>
                <w:szCs w:val="20"/>
              </w:rPr>
              <w:t>CASH</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6</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6</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sz w:val="20"/>
                <w:szCs w:val="20"/>
              </w:rPr>
            </w:pPr>
            <w:r w:rsidRPr="003F07AB">
              <w:rPr>
                <w:rFonts w:cs="Arial"/>
                <w:sz w:val="20"/>
                <w:szCs w:val="20"/>
              </w:rPr>
              <w:t>8</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0,0%</w:t>
            </w:r>
          </w:p>
        </w:tc>
      </w:tr>
      <w:tr w:rsidR="003F07AB" w:rsidRPr="003F07AB" w:rsidTr="0015285A">
        <w:trPr>
          <w:trHeight w:val="300"/>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left"/>
              <w:rPr>
                <w:rFonts w:cs="Arial"/>
                <w:b/>
                <w:bCs/>
                <w:sz w:val="20"/>
                <w:szCs w:val="20"/>
              </w:rPr>
            </w:pPr>
            <w:r w:rsidRPr="003F07AB">
              <w:rPr>
                <w:rFonts w:cs="Arial"/>
                <w:b/>
                <w:bCs/>
                <w:sz w:val="20"/>
                <w:szCs w:val="20"/>
              </w:rPr>
              <w:t>Total</w:t>
            </w:r>
          </w:p>
        </w:tc>
        <w:tc>
          <w:tcPr>
            <w:tcW w:w="609" w:type="dxa"/>
            <w:tcBorders>
              <w:top w:val="nil"/>
              <w:left w:val="single" w:sz="4" w:space="0" w:color="auto"/>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837</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957</w:t>
            </w:r>
          </w:p>
        </w:tc>
        <w:tc>
          <w:tcPr>
            <w:tcW w:w="609"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879</w:t>
            </w:r>
          </w:p>
        </w:tc>
        <w:tc>
          <w:tcPr>
            <w:tcW w:w="77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1170</w:t>
            </w:r>
          </w:p>
        </w:tc>
        <w:tc>
          <w:tcPr>
            <w:tcW w:w="856" w:type="dxa"/>
            <w:tcBorders>
              <w:top w:val="nil"/>
              <w:left w:val="nil"/>
              <w:bottom w:val="single" w:sz="4" w:space="0" w:color="auto"/>
              <w:right w:val="nil"/>
            </w:tcBorders>
            <w:shd w:val="clear" w:color="auto" w:fill="auto"/>
            <w:noWrap/>
            <w:vAlign w:val="bottom"/>
            <w:hideMark/>
          </w:tcPr>
          <w:p w:rsidR="003F07AB" w:rsidRPr="003F07AB" w:rsidRDefault="003F07AB" w:rsidP="003F07AB">
            <w:pPr>
              <w:spacing w:after="0" w:line="240" w:lineRule="auto"/>
              <w:jc w:val="center"/>
              <w:rPr>
                <w:rFonts w:cs="Arial"/>
                <w:b/>
                <w:bCs/>
                <w:sz w:val="20"/>
                <w:szCs w:val="20"/>
              </w:rPr>
            </w:pPr>
            <w:r w:rsidRPr="003F07AB">
              <w:rPr>
                <w:rFonts w:cs="Arial"/>
                <w:b/>
                <w:bCs/>
                <w:sz w:val="20"/>
                <w:szCs w:val="20"/>
              </w:rPr>
              <w:t>1353</w:t>
            </w:r>
          </w:p>
        </w:tc>
        <w:tc>
          <w:tcPr>
            <w:tcW w:w="1216" w:type="dxa"/>
            <w:tcBorders>
              <w:top w:val="nil"/>
              <w:left w:val="nil"/>
              <w:bottom w:val="single" w:sz="4" w:space="0" w:color="auto"/>
              <w:right w:val="single" w:sz="4" w:space="0" w:color="auto"/>
            </w:tcBorders>
            <w:shd w:val="clear" w:color="auto" w:fill="auto"/>
            <w:noWrap/>
            <w:vAlign w:val="bottom"/>
            <w:hideMark/>
          </w:tcPr>
          <w:p w:rsidR="003F07AB" w:rsidRPr="003F07AB" w:rsidRDefault="003F07AB" w:rsidP="003F07AB">
            <w:pPr>
              <w:spacing w:after="0" w:line="240" w:lineRule="auto"/>
              <w:jc w:val="center"/>
              <w:rPr>
                <w:rFonts w:ascii="Arial" w:hAnsi="Arial" w:cs="Arial"/>
                <w:sz w:val="20"/>
                <w:szCs w:val="20"/>
              </w:rPr>
            </w:pPr>
            <w:r w:rsidRPr="003F07AB">
              <w:rPr>
                <w:rFonts w:ascii="Arial" w:hAnsi="Arial" w:cs="Arial"/>
                <w:sz w:val="20"/>
                <w:szCs w:val="20"/>
              </w:rPr>
              <w:t>15,6%</w:t>
            </w:r>
          </w:p>
        </w:tc>
      </w:tr>
    </w:tbl>
    <w:p w:rsidR="003A6049" w:rsidRDefault="003F07AB">
      <w:pPr>
        <w:spacing w:before="120" w:after="0"/>
        <w:jc w:val="center"/>
        <w:rPr>
          <w:rFonts w:cs="Arial"/>
          <w:sz w:val="20"/>
          <w:szCs w:val="20"/>
        </w:rPr>
      </w:pPr>
      <w:r>
        <w:rPr>
          <w:rFonts w:cs="Arial"/>
          <w:sz w:val="20"/>
          <w:szCs w:val="20"/>
        </w:rPr>
        <w:t>*Entreprises</w:t>
      </w:r>
      <w:r w:rsidRPr="00E74A46">
        <w:rPr>
          <w:rFonts w:cs="Arial"/>
          <w:sz w:val="20"/>
          <w:szCs w:val="20"/>
        </w:rPr>
        <w:t xml:space="preserve"> ayant communiqué</w:t>
      </w:r>
      <w:r>
        <w:rPr>
          <w:rFonts w:cs="Arial"/>
          <w:sz w:val="20"/>
          <w:szCs w:val="20"/>
        </w:rPr>
        <w:t>e</w:t>
      </w:r>
      <w:r w:rsidRPr="00E74A46">
        <w:rPr>
          <w:rFonts w:cs="Arial"/>
          <w:sz w:val="20"/>
          <w:szCs w:val="20"/>
        </w:rPr>
        <w:t>s les effectifs employés par les AGA pour l’année 2010</w:t>
      </w:r>
    </w:p>
    <w:p w:rsidR="003F07AB" w:rsidRPr="008D2996" w:rsidRDefault="003F07AB" w:rsidP="003F07AB">
      <w:pPr>
        <w:spacing w:before="120" w:after="0"/>
        <w:rPr>
          <w:b/>
          <w:bCs/>
          <w:color w:val="000000"/>
          <w:sz w:val="18"/>
          <w:szCs w:val="18"/>
        </w:rPr>
      </w:pPr>
    </w:p>
    <w:p w:rsidR="003A6049" w:rsidRDefault="003A6049">
      <w:pPr>
        <w:spacing w:before="240" w:after="0"/>
        <w:rPr>
          <w:b/>
          <w:bCs/>
          <w:color w:val="000000"/>
          <w:sz w:val="18"/>
          <w:szCs w:val="18"/>
        </w:rPr>
      </w:pPr>
    </w:p>
    <w:p w:rsidR="009C6D03" w:rsidRPr="008D2996" w:rsidRDefault="00E74A46" w:rsidP="00AB4942">
      <w:pPr>
        <w:spacing w:before="120" w:after="0"/>
        <w:rPr>
          <w:b/>
          <w:bCs/>
          <w:color w:val="000000"/>
          <w:sz w:val="18"/>
          <w:szCs w:val="18"/>
        </w:rPr>
      </w:pPr>
      <w:r w:rsidRPr="00E74A46">
        <w:rPr>
          <w:rFonts w:cs="Arial"/>
          <w:sz w:val="20"/>
          <w:szCs w:val="20"/>
        </w:rPr>
        <w:t xml:space="preserve">     </w:t>
      </w:r>
    </w:p>
    <w:p w:rsidR="00AB4942" w:rsidRPr="008D2996" w:rsidRDefault="00E74A46" w:rsidP="00AB4942">
      <w:pPr>
        <w:spacing w:before="120" w:after="0"/>
        <w:jc w:val="center"/>
        <w:rPr>
          <w:b/>
          <w:bCs/>
          <w:color w:val="000000"/>
          <w:sz w:val="18"/>
          <w:szCs w:val="18"/>
        </w:rPr>
      </w:pPr>
      <w:r w:rsidRPr="00E74A46">
        <w:rPr>
          <w:b/>
          <w:bCs/>
          <w:color w:val="000000"/>
          <w:sz w:val="18"/>
          <w:szCs w:val="18"/>
        </w:rPr>
        <w:t xml:space="preserve">Graphe n°10.23 : Répartition des effectifs employés par les AGA.  </w:t>
      </w:r>
    </w:p>
    <w:p w:rsidR="00AB4942" w:rsidRPr="008D2996" w:rsidRDefault="00670B8C" w:rsidP="00AB4942">
      <w:pPr>
        <w:spacing w:after="0" w:line="240" w:lineRule="auto"/>
        <w:jc w:val="center"/>
        <w:rPr>
          <w:b/>
          <w:bCs/>
          <w:color w:val="000000"/>
          <w:sz w:val="18"/>
          <w:szCs w:val="18"/>
        </w:rPr>
      </w:pPr>
      <w:r>
        <w:rPr>
          <w:b/>
          <w:bCs/>
          <w:noProof/>
          <w:color w:val="000000"/>
          <w:sz w:val="18"/>
          <w:szCs w:val="18"/>
        </w:rPr>
        <w:drawing>
          <wp:inline distT="0" distB="0" distL="0" distR="0">
            <wp:extent cx="5556250" cy="2794000"/>
            <wp:effectExtent l="19050" t="0" r="6350" b="0"/>
            <wp:docPr id="23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F07AB" w:rsidRDefault="003F07AB" w:rsidP="00AB4942">
      <w:pPr>
        <w:spacing w:after="0" w:line="240" w:lineRule="auto"/>
      </w:pPr>
    </w:p>
    <w:p w:rsidR="003F07AB" w:rsidRDefault="003F07AB" w:rsidP="00AB4942">
      <w:pPr>
        <w:spacing w:after="0" w:line="240" w:lineRule="auto"/>
      </w:pPr>
    </w:p>
    <w:p w:rsidR="003F07AB" w:rsidRDefault="003F07AB" w:rsidP="00AB4942">
      <w:pPr>
        <w:spacing w:after="0" w:line="240" w:lineRule="auto"/>
      </w:pPr>
    </w:p>
    <w:p w:rsidR="00AB4942" w:rsidRPr="00437ACF" w:rsidRDefault="00E45768" w:rsidP="00AB4942">
      <w:pPr>
        <w:spacing w:after="0" w:line="240" w:lineRule="auto"/>
        <w:rPr>
          <w:b/>
        </w:rPr>
      </w:pPr>
      <w:r w:rsidRPr="00E45768">
        <w:rPr>
          <w:b/>
        </w:rPr>
        <w:t>Structure de l’emploi </w:t>
      </w:r>
    </w:p>
    <w:p w:rsidR="00AB4942" w:rsidRPr="008D2996" w:rsidRDefault="00E74A46" w:rsidP="00AB4942">
      <w:pPr>
        <w:pStyle w:val="Titre3"/>
      </w:pPr>
      <w:bookmarkStart w:id="542" w:name="_Toc327883457"/>
      <w:bookmarkStart w:id="543" w:name="_Toc327883637"/>
      <w:bookmarkStart w:id="544" w:name="_Toc327883983"/>
      <w:bookmarkStart w:id="545" w:name="_Toc327885050"/>
      <w:bookmarkStart w:id="546" w:name="_Toc327885635"/>
      <w:bookmarkStart w:id="547" w:name="_Toc327916562"/>
      <w:bookmarkStart w:id="548" w:name="_Toc326156023"/>
      <w:r w:rsidRPr="00E74A46">
        <w:t xml:space="preserve">Structure des effectifs par </w:t>
      </w:r>
      <w:r w:rsidR="00437ACF" w:rsidRPr="00E74A46">
        <w:t>catégorie socioprofessionnelle</w:t>
      </w:r>
      <w:bookmarkEnd w:id="542"/>
      <w:bookmarkEnd w:id="543"/>
      <w:bookmarkEnd w:id="544"/>
      <w:bookmarkEnd w:id="545"/>
      <w:bookmarkEnd w:id="546"/>
      <w:bookmarkEnd w:id="547"/>
      <w:r w:rsidR="00437ACF" w:rsidRPr="00E74A46" w:rsidDel="00437ACF">
        <w:t xml:space="preserve"> </w:t>
      </w:r>
      <w:bookmarkEnd w:id="548"/>
    </w:p>
    <w:p w:rsidR="00AB4942" w:rsidRPr="008D2996" w:rsidRDefault="00E74A46" w:rsidP="00AB4942">
      <w:pPr>
        <w:spacing w:after="240"/>
      </w:pPr>
      <w:r w:rsidRPr="00E74A46">
        <w:t>La structure des effectifs par catégorie socioprofessionnelle à fin 2010 se présente comme suit :</w:t>
      </w:r>
    </w:p>
    <w:p w:rsidR="003A6049" w:rsidRDefault="00E74A46">
      <w:pPr>
        <w:spacing w:before="20" w:after="20" w:line="240" w:lineRule="auto"/>
        <w:ind w:left="284"/>
        <w:jc w:val="center"/>
        <w:rPr>
          <w:b/>
          <w:bCs/>
          <w:color w:val="000000"/>
          <w:sz w:val="18"/>
          <w:szCs w:val="18"/>
        </w:rPr>
      </w:pPr>
      <w:r w:rsidRPr="00E74A46">
        <w:rPr>
          <w:b/>
          <w:bCs/>
          <w:color w:val="000000"/>
          <w:sz w:val="18"/>
          <w:szCs w:val="18"/>
        </w:rPr>
        <w:t xml:space="preserve">Tableau n°10.43 : Structure des effectifs par </w:t>
      </w:r>
      <w:r w:rsidR="000E0C56">
        <w:rPr>
          <w:b/>
          <w:bCs/>
          <w:color w:val="000000"/>
          <w:sz w:val="18"/>
          <w:szCs w:val="18"/>
        </w:rPr>
        <w:t>catégorie socioprofessionnelle</w:t>
      </w:r>
      <w:r w:rsidRPr="00E74A46">
        <w:rPr>
          <w:b/>
          <w:bCs/>
          <w:color w:val="000000"/>
          <w:sz w:val="18"/>
          <w:szCs w:val="18"/>
        </w:rPr>
        <w:t xml:space="preserve"> en 2010.</w:t>
      </w:r>
    </w:p>
    <w:p w:rsidR="00AB4942" w:rsidRPr="008D2996" w:rsidRDefault="00AB4942" w:rsidP="00AB4942">
      <w:pPr>
        <w:spacing w:before="20" w:after="20" w:line="240" w:lineRule="auto"/>
        <w:ind w:left="284"/>
        <w:rPr>
          <w:b/>
          <w:bCs/>
          <w:color w:val="000000"/>
          <w:sz w:val="18"/>
          <w:szCs w:val="18"/>
        </w:rPr>
      </w:pPr>
    </w:p>
    <w:tbl>
      <w:tblPr>
        <w:tblW w:w="9229" w:type="dxa"/>
        <w:jc w:val="center"/>
        <w:tblBorders>
          <w:top w:val="single" w:sz="4" w:space="0" w:color="auto"/>
          <w:bottom w:val="single" w:sz="4" w:space="0" w:color="auto"/>
          <w:insideH w:val="single" w:sz="4" w:space="0" w:color="auto"/>
        </w:tblBorders>
        <w:tblCellMar>
          <w:left w:w="70" w:type="dxa"/>
          <w:right w:w="70" w:type="dxa"/>
        </w:tblCellMar>
        <w:tblLook w:val="0000"/>
      </w:tblPr>
      <w:tblGrid>
        <w:gridCol w:w="4867"/>
        <w:gridCol w:w="2274"/>
        <w:gridCol w:w="2088"/>
      </w:tblGrid>
      <w:tr w:rsidR="00AB4942" w:rsidRPr="008D2996" w:rsidTr="000C70A6">
        <w:trPr>
          <w:trHeight w:val="403"/>
          <w:jc w:val="center"/>
        </w:trPr>
        <w:tc>
          <w:tcPr>
            <w:tcW w:w="4867" w:type="dxa"/>
            <w:tcBorders>
              <w:top w:val="single" w:sz="12" w:space="0" w:color="auto"/>
              <w:left w:val="single" w:sz="12" w:space="0" w:color="auto"/>
              <w:right w:val="single" w:sz="12" w:space="0" w:color="auto"/>
            </w:tcBorders>
            <w:vAlign w:val="center"/>
          </w:tcPr>
          <w:p w:rsidR="00AB4942" w:rsidRPr="008D2996" w:rsidRDefault="00E74A46" w:rsidP="00583537">
            <w:pPr>
              <w:spacing w:before="20" w:after="20" w:line="240" w:lineRule="auto"/>
              <w:jc w:val="center"/>
              <w:rPr>
                <w:color w:val="000000"/>
                <w:sz w:val="18"/>
                <w:szCs w:val="18"/>
              </w:rPr>
            </w:pPr>
            <w:r w:rsidRPr="00E74A46">
              <w:rPr>
                <w:color w:val="000000"/>
                <w:sz w:val="18"/>
                <w:szCs w:val="18"/>
              </w:rPr>
              <w:t>Grade</w:t>
            </w:r>
          </w:p>
        </w:tc>
        <w:tc>
          <w:tcPr>
            <w:tcW w:w="2274" w:type="dxa"/>
            <w:tcBorders>
              <w:top w:val="single" w:sz="12" w:space="0" w:color="auto"/>
              <w:left w:val="single" w:sz="12" w:space="0" w:color="auto"/>
            </w:tcBorders>
            <w:vAlign w:val="center"/>
          </w:tcPr>
          <w:p w:rsidR="00AB4942" w:rsidRPr="008D2996" w:rsidRDefault="00E74A46" w:rsidP="00583537">
            <w:pPr>
              <w:spacing w:before="20" w:after="20" w:line="240" w:lineRule="auto"/>
              <w:jc w:val="center"/>
              <w:rPr>
                <w:color w:val="000000"/>
                <w:sz w:val="18"/>
                <w:szCs w:val="18"/>
              </w:rPr>
            </w:pPr>
            <w:r w:rsidRPr="00E74A46">
              <w:rPr>
                <w:color w:val="000000"/>
                <w:sz w:val="18"/>
                <w:szCs w:val="18"/>
              </w:rPr>
              <w:t>Effectifs 2010</w:t>
            </w:r>
          </w:p>
        </w:tc>
        <w:tc>
          <w:tcPr>
            <w:tcW w:w="2088" w:type="dxa"/>
            <w:tcBorders>
              <w:top w:val="single" w:sz="12" w:space="0" w:color="auto"/>
              <w:right w:val="single" w:sz="12" w:space="0" w:color="auto"/>
            </w:tcBorders>
            <w:vAlign w:val="center"/>
          </w:tcPr>
          <w:p w:rsidR="00AB4942" w:rsidRPr="008D2996" w:rsidRDefault="00E74A46" w:rsidP="00583537">
            <w:pPr>
              <w:spacing w:before="20" w:after="20" w:line="240" w:lineRule="auto"/>
              <w:jc w:val="center"/>
              <w:rPr>
                <w:color w:val="000000"/>
                <w:sz w:val="18"/>
                <w:szCs w:val="18"/>
              </w:rPr>
            </w:pPr>
            <w:r w:rsidRPr="00E74A46">
              <w:rPr>
                <w:color w:val="000000"/>
                <w:sz w:val="18"/>
                <w:szCs w:val="18"/>
              </w:rPr>
              <w:t>Taux %</w:t>
            </w:r>
          </w:p>
        </w:tc>
      </w:tr>
      <w:tr w:rsidR="00AB4942" w:rsidRPr="008D2996" w:rsidTr="000C70A6">
        <w:trPr>
          <w:trHeight w:hRule="exact" w:val="401"/>
          <w:jc w:val="center"/>
        </w:trPr>
        <w:tc>
          <w:tcPr>
            <w:tcW w:w="4867" w:type="dxa"/>
            <w:tcBorders>
              <w:left w:val="single" w:sz="12" w:space="0" w:color="auto"/>
              <w:right w:val="single" w:sz="12" w:space="0" w:color="auto"/>
            </w:tcBorders>
            <w:vAlign w:val="center"/>
          </w:tcPr>
          <w:p w:rsidR="00AB4942" w:rsidRPr="008D2996" w:rsidRDefault="00E74A46" w:rsidP="00583537">
            <w:pPr>
              <w:spacing w:before="20" w:after="20" w:line="240" w:lineRule="auto"/>
              <w:jc w:val="left"/>
              <w:rPr>
                <w:color w:val="000000"/>
                <w:sz w:val="18"/>
                <w:szCs w:val="18"/>
              </w:rPr>
            </w:pPr>
            <w:r w:rsidRPr="00E74A46">
              <w:rPr>
                <w:color w:val="000000"/>
                <w:sz w:val="18"/>
                <w:szCs w:val="18"/>
              </w:rPr>
              <w:t>Cadres dirigeants&amp; supérieurs</w:t>
            </w:r>
          </w:p>
        </w:tc>
        <w:tc>
          <w:tcPr>
            <w:tcW w:w="2274" w:type="dxa"/>
            <w:tcBorders>
              <w:left w:val="single" w:sz="12" w:space="0" w:color="auto"/>
            </w:tcBorders>
            <w:vAlign w:val="bottom"/>
          </w:tcPr>
          <w:p w:rsidR="00AB4942" w:rsidRPr="008D2996" w:rsidRDefault="00E74A46" w:rsidP="00583537">
            <w:pPr>
              <w:jc w:val="center"/>
              <w:rPr>
                <w:rFonts w:cs="Arial"/>
                <w:color w:val="000000"/>
                <w:sz w:val="20"/>
                <w:szCs w:val="20"/>
              </w:rPr>
            </w:pPr>
            <w:r w:rsidRPr="00E74A46">
              <w:rPr>
                <w:rFonts w:cs="Arial"/>
                <w:color w:val="000000"/>
                <w:sz w:val="20"/>
                <w:szCs w:val="20"/>
              </w:rPr>
              <w:t>1 428</w:t>
            </w:r>
          </w:p>
        </w:tc>
        <w:tc>
          <w:tcPr>
            <w:tcW w:w="2088" w:type="dxa"/>
            <w:tcBorders>
              <w:right w:val="single" w:sz="12" w:space="0" w:color="auto"/>
            </w:tcBorders>
          </w:tcPr>
          <w:p w:rsidR="00E24313" w:rsidRDefault="00E74A46">
            <w:pPr>
              <w:autoSpaceDE w:val="0"/>
              <w:autoSpaceDN w:val="0"/>
              <w:adjustRightInd w:val="0"/>
              <w:spacing w:after="0" w:line="240" w:lineRule="auto"/>
              <w:jc w:val="center"/>
              <w:rPr>
                <w:rFonts w:eastAsiaTheme="minorHAnsi"/>
                <w:color w:val="000000"/>
                <w:sz w:val="20"/>
                <w:szCs w:val="20"/>
                <w:lang w:eastAsia="en-US"/>
              </w:rPr>
            </w:pPr>
            <w:r w:rsidRPr="00E74A46">
              <w:rPr>
                <w:rFonts w:eastAsiaTheme="minorHAnsi"/>
                <w:color w:val="000000"/>
                <w:sz w:val="20"/>
                <w:szCs w:val="20"/>
                <w:lang w:eastAsia="en-US"/>
              </w:rPr>
              <w:t>1</w:t>
            </w:r>
            <w:r w:rsidR="000E0C56">
              <w:rPr>
                <w:rFonts w:eastAsiaTheme="minorHAnsi"/>
                <w:color w:val="000000"/>
                <w:sz w:val="20"/>
                <w:szCs w:val="20"/>
                <w:lang w:eastAsia="en-US"/>
              </w:rPr>
              <w:t>1</w:t>
            </w:r>
            <w:r w:rsidRPr="00E74A46">
              <w:rPr>
                <w:rFonts w:eastAsiaTheme="minorHAnsi"/>
                <w:color w:val="000000"/>
                <w:sz w:val="20"/>
                <w:szCs w:val="20"/>
                <w:lang w:eastAsia="en-US"/>
              </w:rPr>
              <w:t>,</w:t>
            </w:r>
            <w:r w:rsidR="00437ACF">
              <w:rPr>
                <w:rFonts w:eastAsiaTheme="minorHAnsi"/>
                <w:color w:val="000000"/>
                <w:sz w:val="20"/>
                <w:szCs w:val="20"/>
                <w:lang w:eastAsia="en-US"/>
              </w:rPr>
              <w:t>1</w:t>
            </w:r>
            <w:r w:rsidRPr="00E74A46">
              <w:rPr>
                <w:rFonts w:eastAsiaTheme="minorHAnsi"/>
                <w:color w:val="000000"/>
                <w:sz w:val="20"/>
                <w:szCs w:val="20"/>
                <w:lang w:eastAsia="en-US"/>
              </w:rPr>
              <w:t>%</w:t>
            </w:r>
          </w:p>
        </w:tc>
      </w:tr>
      <w:tr w:rsidR="00AB4942" w:rsidRPr="008D2996" w:rsidTr="000C70A6">
        <w:trPr>
          <w:trHeight w:hRule="exact" w:val="401"/>
          <w:jc w:val="center"/>
        </w:trPr>
        <w:tc>
          <w:tcPr>
            <w:tcW w:w="4867" w:type="dxa"/>
            <w:tcBorders>
              <w:left w:val="single" w:sz="12" w:space="0" w:color="auto"/>
              <w:right w:val="single" w:sz="12" w:space="0" w:color="auto"/>
            </w:tcBorders>
            <w:vAlign w:val="center"/>
          </w:tcPr>
          <w:p w:rsidR="00AB4942" w:rsidRPr="008D2996" w:rsidRDefault="00E74A46" w:rsidP="00583537">
            <w:pPr>
              <w:spacing w:before="20" w:after="20" w:line="240" w:lineRule="auto"/>
              <w:jc w:val="left"/>
              <w:rPr>
                <w:color w:val="000000"/>
                <w:sz w:val="18"/>
                <w:szCs w:val="18"/>
              </w:rPr>
            </w:pPr>
            <w:r w:rsidRPr="00E74A46">
              <w:rPr>
                <w:color w:val="000000"/>
                <w:sz w:val="18"/>
                <w:szCs w:val="18"/>
              </w:rPr>
              <w:t>Cadres</w:t>
            </w:r>
          </w:p>
        </w:tc>
        <w:tc>
          <w:tcPr>
            <w:tcW w:w="2274" w:type="dxa"/>
            <w:tcBorders>
              <w:left w:val="single" w:sz="12" w:space="0" w:color="auto"/>
            </w:tcBorders>
            <w:vAlign w:val="bottom"/>
          </w:tcPr>
          <w:p w:rsidR="00AB4942" w:rsidRPr="008D2996" w:rsidRDefault="00E74A46" w:rsidP="00583537">
            <w:pPr>
              <w:jc w:val="center"/>
              <w:rPr>
                <w:rFonts w:cs="Arial"/>
                <w:color w:val="000000"/>
                <w:sz w:val="20"/>
                <w:szCs w:val="20"/>
              </w:rPr>
            </w:pPr>
            <w:r w:rsidRPr="00E74A46">
              <w:rPr>
                <w:rFonts w:cs="Arial"/>
                <w:color w:val="000000"/>
                <w:sz w:val="20"/>
                <w:szCs w:val="20"/>
              </w:rPr>
              <w:t>4 049</w:t>
            </w:r>
          </w:p>
        </w:tc>
        <w:tc>
          <w:tcPr>
            <w:tcW w:w="2088" w:type="dxa"/>
            <w:tcBorders>
              <w:right w:val="single" w:sz="12" w:space="0" w:color="auto"/>
            </w:tcBorders>
          </w:tcPr>
          <w:p w:rsidR="00E24313" w:rsidRDefault="00E74A46">
            <w:pPr>
              <w:autoSpaceDE w:val="0"/>
              <w:autoSpaceDN w:val="0"/>
              <w:adjustRightInd w:val="0"/>
              <w:spacing w:after="0" w:line="240" w:lineRule="auto"/>
              <w:jc w:val="center"/>
              <w:rPr>
                <w:rFonts w:eastAsiaTheme="minorHAnsi"/>
                <w:color w:val="000000"/>
                <w:sz w:val="20"/>
                <w:szCs w:val="20"/>
                <w:lang w:eastAsia="en-US"/>
              </w:rPr>
            </w:pPr>
            <w:r w:rsidRPr="00E74A46">
              <w:rPr>
                <w:rFonts w:eastAsiaTheme="minorHAnsi"/>
                <w:color w:val="000000"/>
                <w:sz w:val="20"/>
                <w:szCs w:val="20"/>
                <w:lang w:eastAsia="en-US"/>
              </w:rPr>
              <w:t>3</w:t>
            </w:r>
            <w:r w:rsidR="000E0C56">
              <w:rPr>
                <w:rFonts w:eastAsiaTheme="minorHAnsi"/>
                <w:color w:val="000000"/>
                <w:sz w:val="20"/>
                <w:szCs w:val="20"/>
                <w:lang w:eastAsia="en-US"/>
              </w:rPr>
              <w:t>1</w:t>
            </w:r>
            <w:r w:rsidRPr="00E74A46">
              <w:rPr>
                <w:rFonts w:eastAsiaTheme="minorHAnsi"/>
                <w:color w:val="000000"/>
                <w:sz w:val="20"/>
                <w:szCs w:val="20"/>
                <w:lang w:eastAsia="en-US"/>
              </w:rPr>
              <w:t>,</w:t>
            </w:r>
            <w:r w:rsidR="000E0C56">
              <w:rPr>
                <w:rFonts w:eastAsiaTheme="minorHAnsi"/>
                <w:color w:val="000000"/>
                <w:sz w:val="20"/>
                <w:szCs w:val="20"/>
                <w:lang w:eastAsia="en-US"/>
              </w:rPr>
              <w:t>5</w:t>
            </w:r>
            <w:r w:rsidRPr="00E74A46">
              <w:rPr>
                <w:rFonts w:eastAsiaTheme="minorHAnsi"/>
                <w:color w:val="000000"/>
                <w:sz w:val="20"/>
                <w:szCs w:val="20"/>
                <w:lang w:eastAsia="en-US"/>
              </w:rPr>
              <w:t>%</w:t>
            </w:r>
          </w:p>
        </w:tc>
      </w:tr>
      <w:tr w:rsidR="00AB4942" w:rsidRPr="008D2996" w:rsidTr="000C70A6">
        <w:trPr>
          <w:trHeight w:val="424"/>
          <w:jc w:val="center"/>
        </w:trPr>
        <w:tc>
          <w:tcPr>
            <w:tcW w:w="4867" w:type="dxa"/>
            <w:tcBorders>
              <w:left w:val="single" w:sz="12" w:space="0" w:color="auto"/>
              <w:right w:val="single" w:sz="12" w:space="0" w:color="auto"/>
            </w:tcBorders>
            <w:vAlign w:val="center"/>
          </w:tcPr>
          <w:p w:rsidR="00AB4942" w:rsidRPr="008D2996" w:rsidRDefault="00E74A46" w:rsidP="00583537">
            <w:pPr>
              <w:spacing w:before="20" w:after="20" w:line="240" w:lineRule="auto"/>
              <w:jc w:val="left"/>
              <w:rPr>
                <w:color w:val="000000"/>
                <w:sz w:val="18"/>
                <w:szCs w:val="18"/>
              </w:rPr>
            </w:pPr>
            <w:r w:rsidRPr="00E74A46">
              <w:rPr>
                <w:color w:val="000000"/>
                <w:sz w:val="18"/>
                <w:szCs w:val="18"/>
              </w:rPr>
              <w:t>Agents de maîtrise</w:t>
            </w:r>
          </w:p>
        </w:tc>
        <w:tc>
          <w:tcPr>
            <w:tcW w:w="2274" w:type="dxa"/>
            <w:tcBorders>
              <w:left w:val="single" w:sz="12" w:space="0" w:color="auto"/>
            </w:tcBorders>
            <w:vAlign w:val="bottom"/>
          </w:tcPr>
          <w:p w:rsidR="00AB4942" w:rsidRPr="008D2996" w:rsidRDefault="00E74A46" w:rsidP="00583537">
            <w:pPr>
              <w:jc w:val="center"/>
              <w:rPr>
                <w:rFonts w:cs="Arial"/>
                <w:color w:val="000000"/>
                <w:sz w:val="20"/>
                <w:szCs w:val="20"/>
              </w:rPr>
            </w:pPr>
            <w:r w:rsidRPr="00E74A46">
              <w:rPr>
                <w:rFonts w:cs="Arial"/>
                <w:color w:val="000000"/>
                <w:sz w:val="20"/>
                <w:szCs w:val="20"/>
              </w:rPr>
              <w:t>3 031</w:t>
            </w:r>
          </w:p>
        </w:tc>
        <w:tc>
          <w:tcPr>
            <w:tcW w:w="2088" w:type="dxa"/>
            <w:tcBorders>
              <w:right w:val="single" w:sz="12" w:space="0" w:color="auto"/>
            </w:tcBorders>
          </w:tcPr>
          <w:p w:rsidR="00E24313" w:rsidRDefault="00E74A46">
            <w:pPr>
              <w:autoSpaceDE w:val="0"/>
              <w:autoSpaceDN w:val="0"/>
              <w:adjustRightInd w:val="0"/>
              <w:spacing w:after="0" w:line="240" w:lineRule="auto"/>
              <w:jc w:val="center"/>
              <w:rPr>
                <w:rFonts w:eastAsiaTheme="minorHAnsi"/>
                <w:color w:val="000000"/>
                <w:sz w:val="20"/>
                <w:szCs w:val="20"/>
                <w:lang w:eastAsia="en-US"/>
              </w:rPr>
            </w:pPr>
            <w:r w:rsidRPr="00E74A46">
              <w:rPr>
                <w:rFonts w:eastAsiaTheme="minorHAnsi"/>
                <w:color w:val="000000"/>
                <w:sz w:val="20"/>
                <w:szCs w:val="20"/>
                <w:lang w:eastAsia="en-US"/>
              </w:rPr>
              <w:t>23,</w:t>
            </w:r>
            <w:r w:rsidR="000E0C56">
              <w:rPr>
                <w:rFonts w:eastAsiaTheme="minorHAnsi"/>
                <w:color w:val="000000"/>
                <w:sz w:val="20"/>
                <w:szCs w:val="20"/>
                <w:lang w:eastAsia="en-US"/>
              </w:rPr>
              <w:t>6</w:t>
            </w:r>
            <w:r w:rsidRPr="00E74A46">
              <w:rPr>
                <w:rFonts w:eastAsiaTheme="minorHAnsi"/>
                <w:color w:val="000000"/>
                <w:sz w:val="20"/>
                <w:szCs w:val="20"/>
                <w:lang w:eastAsia="en-US"/>
              </w:rPr>
              <w:t>%</w:t>
            </w:r>
          </w:p>
        </w:tc>
      </w:tr>
      <w:tr w:rsidR="00AB4942" w:rsidRPr="008D2996" w:rsidTr="000C70A6">
        <w:trPr>
          <w:trHeight w:val="466"/>
          <w:jc w:val="center"/>
        </w:trPr>
        <w:tc>
          <w:tcPr>
            <w:tcW w:w="4867" w:type="dxa"/>
            <w:tcBorders>
              <w:left w:val="single" w:sz="12" w:space="0" w:color="auto"/>
              <w:bottom w:val="single" w:sz="8" w:space="0" w:color="auto"/>
              <w:right w:val="single" w:sz="12" w:space="0" w:color="auto"/>
            </w:tcBorders>
            <w:vAlign w:val="center"/>
          </w:tcPr>
          <w:p w:rsidR="00AB4942" w:rsidRPr="008D2996" w:rsidRDefault="00E74A46" w:rsidP="00583537">
            <w:pPr>
              <w:spacing w:before="20" w:after="20" w:line="240" w:lineRule="auto"/>
              <w:jc w:val="left"/>
              <w:rPr>
                <w:color w:val="000000"/>
                <w:sz w:val="18"/>
                <w:szCs w:val="18"/>
              </w:rPr>
            </w:pPr>
            <w:r w:rsidRPr="00E74A46">
              <w:rPr>
                <w:color w:val="000000"/>
                <w:sz w:val="18"/>
                <w:szCs w:val="18"/>
              </w:rPr>
              <w:t>Agents d’exécution</w:t>
            </w:r>
          </w:p>
        </w:tc>
        <w:tc>
          <w:tcPr>
            <w:tcW w:w="2274" w:type="dxa"/>
            <w:tcBorders>
              <w:left w:val="single" w:sz="12" w:space="0" w:color="auto"/>
              <w:bottom w:val="single" w:sz="8" w:space="0" w:color="auto"/>
            </w:tcBorders>
            <w:vAlign w:val="bottom"/>
          </w:tcPr>
          <w:p w:rsidR="00AB4942" w:rsidRPr="008D2996" w:rsidRDefault="00E74A46" w:rsidP="00583537">
            <w:pPr>
              <w:jc w:val="center"/>
              <w:rPr>
                <w:rFonts w:cs="Arial"/>
                <w:color w:val="000000"/>
                <w:sz w:val="20"/>
                <w:szCs w:val="20"/>
              </w:rPr>
            </w:pPr>
            <w:r w:rsidRPr="00E74A46">
              <w:rPr>
                <w:rFonts w:cs="Arial"/>
                <w:color w:val="000000"/>
                <w:sz w:val="20"/>
                <w:szCs w:val="20"/>
              </w:rPr>
              <w:t>4 365</w:t>
            </w:r>
          </w:p>
        </w:tc>
        <w:tc>
          <w:tcPr>
            <w:tcW w:w="2088" w:type="dxa"/>
            <w:tcBorders>
              <w:bottom w:val="single" w:sz="8" w:space="0" w:color="auto"/>
              <w:right w:val="single" w:sz="12" w:space="0" w:color="auto"/>
            </w:tcBorders>
          </w:tcPr>
          <w:p w:rsidR="00E24313" w:rsidRDefault="00E74A46">
            <w:pPr>
              <w:autoSpaceDE w:val="0"/>
              <w:autoSpaceDN w:val="0"/>
              <w:adjustRightInd w:val="0"/>
              <w:spacing w:after="0" w:line="240" w:lineRule="auto"/>
              <w:jc w:val="center"/>
              <w:rPr>
                <w:rFonts w:eastAsiaTheme="minorHAnsi"/>
                <w:color w:val="000000"/>
                <w:sz w:val="20"/>
                <w:szCs w:val="20"/>
                <w:lang w:eastAsia="en-US"/>
              </w:rPr>
            </w:pPr>
            <w:r w:rsidRPr="00E74A46">
              <w:rPr>
                <w:rFonts w:eastAsiaTheme="minorHAnsi"/>
                <w:color w:val="000000"/>
                <w:sz w:val="20"/>
                <w:szCs w:val="20"/>
                <w:lang w:eastAsia="en-US"/>
              </w:rPr>
              <w:t>3</w:t>
            </w:r>
            <w:r w:rsidR="000E0C56">
              <w:rPr>
                <w:rFonts w:eastAsiaTheme="minorHAnsi"/>
                <w:color w:val="000000"/>
                <w:sz w:val="20"/>
                <w:szCs w:val="20"/>
                <w:lang w:eastAsia="en-US"/>
              </w:rPr>
              <w:t>3</w:t>
            </w:r>
            <w:r w:rsidRPr="00E74A46">
              <w:rPr>
                <w:rFonts w:eastAsiaTheme="minorHAnsi"/>
                <w:color w:val="000000"/>
                <w:sz w:val="20"/>
                <w:szCs w:val="20"/>
                <w:lang w:eastAsia="en-US"/>
              </w:rPr>
              <w:t>,</w:t>
            </w:r>
            <w:r w:rsidR="000E0C56">
              <w:rPr>
                <w:rFonts w:eastAsiaTheme="minorHAnsi"/>
                <w:color w:val="000000"/>
                <w:sz w:val="20"/>
                <w:szCs w:val="20"/>
                <w:lang w:eastAsia="en-US"/>
              </w:rPr>
              <w:t>9</w:t>
            </w:r>
            <w:r w:rsidRPr="00E74A46">
              <w:rPr>
                <w:rFonts w:eastAsiaTheme="minorHAnsi"/>
                <w:color w:val="000000"/>
                <w:sz w:val="20"/>
                <w:szCs w:val="20"/>
                <w:lang w:eastAsia="en-US"/>
              </w:rPr>
              <w:t>%</w:t>
            </w:r>
          </w:p>
        </w:tc>
      </w:tr>
      <w:tr w:rsidR="00AB4942" w:rsidRPr="008D2996" w:rsidTr="000C70A6">
        <w:trPr>
          <w:trHeight w:val="403"/>
          <w:jc w:val="center"/>
        </w:trPr>
        <w:tc>
          <w:tcPr>
            <w:tcW w:w="4867" w:type="dxa"/>
            <w:tcBorders>
              <w:top w:val="single" w:sz="8" w:space="0" w:color="auto"/>
              <w:left w:val="single" w:sz="12" w:space="0" w:color="auto"/>
              <w:bottom w:val="single" w:sz="12" w:space="0" w:color="auto"/>
              <w:right w:val="single" w:sz="12" w:space="0" w:color="auto"/>
            </w:tcBorders>
            <w:vAlign w:val="center"/>
          </w:tcPr>
          <w:p w:rsidR="00AB4942" w:rsidRPr="008D2996" w:rsidRDefault="00E74A46" w:rsidP="00583537">
            <w:pPr>
              <w:spacing w:before="20" w:after="20" w:line="240" w:lineRule="auto"/>
              <w:jc w:val="left"/>
              <w:rPr>
                <w:color w:val="000000"/>
                <w:sz w:val="18"/>
                <w:szCs w:val="18"/>
              </w:rPr>
            </w:pPr>
            <w:r w:rsidRPr="00E74A46">
              <w:rPr>
                <w:color w:val="000000"/>
                <w:sz w:val="18"/>
                <w:szCs w:val="18"/>
              </w:rPr>
              <w:t>TOTAL</w:t>
            </w:r>
          </w:p>
        </w:tc>
        <w:tc>
          <w:tcPr>
            <w:tcW w:w="2274" w:type="dxa"/>
            <w:tcBorders>
              <w:top w:val="single" w:sz="8" w:space="0" w:color="auto"/>
              <w:left w:val="single" w:sz="12" w:space="0" w:color="auto"/>
              <w:bottom w:val="single" w:sz="12" w:space="0" w:color="auto"/>
            </w:tcBorders>
            <w:vAlign w:val="bottom"/>
          </w:tcPr>
          <w:p w:rsidR="00AB4942" w:rsidRPr="008D2996" w:rsidRDefault="00E74A46" w:rsidP="00583537">
            <w:pPr>
              <w:jc w:val="center"/>
              <w:rPr>
                <w:rFonts w:cs="Arial"/>
                <w:color w:val="000000"/>
                <w:sz w:val="20"/>
                <w:szCs w:val="20"/>
              </w:rPr>
            </w:pPr>
            <w:r w:rsidRPr="00E74A46">
              <w:rPr>
                <w:rFonts w:cs="Arial"/>
                <w:color w:val="000000"/>
                <w:sz w:val="20"/>
                <w:szCs w:val="20"/>
              </w:rPr>
              <w:t>12 873</w:t>
            </w:r>
          </w:p>
        </w:tc>
        <w:tc>
          <w:tcPr>
            <w:tcW w:w="2088" w:type="dxa"/>
            <w:tcBorders>
              <w:top w:val="single" w:sz="8" w:space="0" w:color="auto"/>
              <w:bottom w:val="single" w:sz="12" w:space="0" w:color="auto"/>
              <w:right w:val="single" w:sz="12" w:space="0" w:color="auto"/>
            </w:tcBorders>
          </w:tcPr>
          <w:p w:rsidR="00AB4942" w:rsidRPr="008D2996" w:rsidRDefault="00E74A46" w:rsidP="00583537">
            <w:pPr>
              <w:autoSpaceDE w:val="0"/>
              <w:autoSpaceDN w:val="0"/>
              <w:adjustRightInd w:val="0"/>
              <w:spacing w:after="0" w:line="240" w:lineRule="auto"/>
              <w:jc w:val="center"/>
              <w:rPr>
                <w:rFonts w:eastAsiaTheme="minorHAnsi"/>
                <w:b/>
                <w:bCs/>
                <w:color w:val="000000"/>
                <w:sz w:val="20"/>
                <w:szCs w:val="20"/>
                <w:lang w:eastAsia="en-US"/>
              </w:rPr>
            </w:pPr>
            <w:r w:rsidRPr="00E74A46">
              <w:rPr>
                <w:rFonts w:eastAsiaTheme="minorHAnsi"/>
                <w:b/>
                <w:bCs/>
                <w:color w:val="000000"/>
                <w:sz w:val="20"/>
                <w:szCs w:val="20"/>
                <w:lang w:eastAsia="en-US"/>
              </w:rPr>
              <w:t>100,0%</w:t>
            </w:r>
          </w:p>
        </w:tc>
      </w:tr>
    </w:tbl>
    <w:p w:rsidR="003A6049" w:rsidRDefault="003A6049">
      <w:pPr>
        <w:spacing w:before="120" w:after="0"/>
        <w:rPr>
          <w:b/>
          <w:bCs/>
          <w:color w:val="000000"/>
          <w:sz w:val="18"/>
          <w:szCs w:val="18"/>
        </w:rPr>
      </w:pPr>
    </w:p>
    <w:p w:rsidR="00AB4942" w:rsidRPr="008D2996" w:rsidRDefault="00E74A46" w:rsidP="00AB4942">
      <w:pPr>
        <w:spacing w:before="120" w:after="0"/>
        <w:jc w:val="center"/>
        <w:rPr>
          <w:b/>
          <w:bCs/>
          <w:color w:val="000000"/>
          <w:sz w:val="18"/>
          <w:szCs w:val="18"/>
        </w:rPr>
      </w:pPr>
      <w:r w:rsidRPr="00E74A46">
        <w:rPr>
          <w:b/>
          <w:bCs/>
          <w:color w:val="000000"/>
          <w:sz w:val="18"/>
          <w:szCs w:val="18"/>
        </w:rPr>
        <w:t>Graphe n°10.24 : Répartition des effectifs par grade.</w:t>
      </w:r>
    </w:p>
    <w:p w:rsidR="00AB4942" w:rsidRPr="008D2996" w:rsidRDefault="00670B8C" w:rsidP="00AB4942">
      <w:pPr>
        <w:spacing w:before="120" w:after="0"/>
        <w:jc w:val="center"/>
        <w:rPr>
          <w:b/>
          <w:bCs/>
          <w:color w:val="000000"/>
          <w:sz w:val="18"/>
          <w:szCs w:val="18"/>
        </w:rPr>
      </w:pPr>
      <w:r>
        <w:rPr>
          <w:b/>
          <w:bCs/>
          <w:noProof/>
          <w:color w:val="000000"/>
          <w:sz w:val="18"/>
          <w:szCs w:val="18"/>
        </w:rPr>
        <w:drawing>
          <wp:inline distT="0" distB="0" distL="0" distR="0">
            <wp:extent cx="4391025" cy="2355850"/>
            <wp:effectExtent l="57150" t="19050" r="9525" b="0"/>
            <wp:docPr id="23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B4942" w:rsidRPr="008D2996" w:rsidRDefault="00AB4942" w:rsidP="00AB4942">
      <w:pPr>
        <w:pStyle w:val="Notedebasdepage"/>
        <w:spacing w:before="20" w:after="20" w:line="240" w:lineRule="auto"/>
        <w:ind w:firstLine="38"/>
        <w:jc w:val="left"/>
        <w:rPr>
          <w:color w:val="000000"/>
          <w:sz w:val="18"/>
          <w:szCs w:val="18"/>
        </w:rPr>
      </w:pPr>
    </w:p>
    <w:p w:rsidR="00AB4942" w:rsidRPr="008D2996" w:rsidRDefault="00AB4942" w:rsidP="00AB4942">
      <w:pPr>
        <w:pStyle w:val="Notedebasdepage"/>
        <w:spacing w:before="20" w:after="20" w:line="240" w:lineRule="auto"/>
        <w:ind w:left="0" w:firstLine="0"/>
        <w:jc w:val="left"/>
        <w:rPr>
          <w:color w:val="000000"/>
          <w:sz w:val="18"/>
          <w:szCs w:val="18"/>
        </w:rPr>
      </w:pPr>
    </w:p>
    <w:p w:rsidR="00AB4942" w:rsidRPr="008D2996" w:rsidRDefault="00E74A46" w:rsidP="00AB4942">
      <w:r w:rsidRPr="00E74A46">
        <w:t>On notera que la structure des effectifs par catégorie socioprofessionnelle est prédominée par les agents d’exécution qui représentent 3</w:t>
      </w:r>
      <w:r w:rsidR="000E0C56">
        <w:t>3</w:t>
      </w:r>
      <w:r w:rsidR="00437ACF">
        <w:t>,</w:t>
      </w:r>
      <w:r w:rsidR="000E0C56">
        <w:t>9</w:t>
      </w:r>
      <w:r w:rsidRPr="00E74A46">
        <w:t>% du total de l’effectif des employés de l’ensemble des sociétés d’assurances suivi des cadres moyens (3</w:t>
      </w:r>
      <w:r w:rsidR="000E0C56">
        <w:t>1</w:t>
      </w:r>
      <w:r w:rsidR="00437ACF">
        <w:t>,</w:t>
      </w:r>
      <w:r w:rsidR="000E0C56">
        <w:t>5</w:t>
      </w:r>
      <w:r w:rsidRPr="00E74A46">
        <w:t>%) puis des agents  de maî</w:t>
      </w:r>
      <w:r w:rsidR="009253C8">
        <w:t>trise avec un taux de près de 23</w:t>
      </w:r>
      <w:r w:rsidR="00F80EE7">
        <w:t>,5</w:t>
      </w:r>
      <w:r w:rsidRPr="00E74A46">
        <w:t>%.</w:t>
      </w:r>
    </w:p>
    <w:p w:rsidR="00AB4942" w:rsidRPr="008D2996" w:rsidRDefault="00E74A46" w:rsidP="00AB4942">
      <w:r w:rsidRPr="00E74A46">
        <w:t>Les cadres dirigeants et supérieurs ne représentent que 11</w:t>
      </w:r>
      <w:r w:rsidR="000E0C56">
        <w:t>,1</w:t>
      </w:r>
      <w:r w:rsidRPr="00E74A46">
        <w:t>% de l’ensemble des employés des sociétés d’assurances.</w:t>
      </w:r>
    </w:p>
    <w:p w:rsidR="00AB4942" w:rsidRPr="008D2996" w:rsidRDefault="00AB4942" w:rsidP="00AB4942">
      <w:pPr>
        <w:spacing w:after="0" w:line="240" w:lineRule="auto"/>
        <w:jc w:val="left"/>
        <w:rPr>
          <w:b/>
          <w:bCs/>
        </w:rPr>
      </w:pPr>
    </w:p>
    <w:p w:rsidR="00AB4942" w:rsidRPr="008D2996" w:rsidRDefault="00E74A46" w:rsidP="00AB4942">
      <w:pPr>
        <w:rPr>
          <w:b/>
        </w:rPr>
      </w:pPr>
      <w:r w:rsidRPr="00E74A46">
        <w:rPr>
          <w:b/>
        </w:rPr>
        <w:t>Structure par affectation</w:t>
      </w:r>
    </w:p>
    <w:p w:rsidR="00AB4942" w:rsidRPr="008D2996" w:rsidRDefault="00E74A46" w:rsidP="00AB4942">
      <w:pPr>
        <w:spacing w:line="240" w:lineRule="auto"/>
      </w:pPr>
      <w:r w:rsidRPr="00E74A46">
        <w:t>Les effectifs par structure d’affectation ont évolué de la manière suivante :</w:t>
      </w:r>
    </w:p>
    <w:p w:rsidR="00AB4942" w:rsidRPr="008D2996" w:rsidRDefault="00E74A46" w:rsidP="00AB4942">
      <w:pPr>
        <w:spacing w:line="240" w:lineRule="auto"/>
      </w:pPr>
      <w:r w:rsidRPr="00E74A46">
        <w:t>Siège : une forte baisse en passant de 3</w:t>
      </w:r>
      <w:r w:rsidR="000E0C56">
        <w:t>4,7</w:t>
      </w:r>
      <w:r w:rsidRPr="00E74A46">
        <w:t>% en 2009 à 21</w:t>
      </w:r>
      <w:r w:rsidR="000E0C56">
        <w:t>,4</w:t>
      </w:r>
      <w:r w:rsidRPr="00E74A46">
        <w:t>% en 2010;</w:t>
      </w:r>
    </w:p>
    <w:p w:rsidR="00AB4942" w:rsidRPr="008D2996" w:rsidRDefault="00E74A46" w:rsidP="00AB4942">
      <w:pPr>
        <w:spacing w:line="240" w:lineRule="auto"/>
      </w:pPr>
      <w:r w:rsidRPr="00E74A46">
        <w:t xml:space="preserve">Délégations et unités : une </w:t>
      </w:r>
      <w:r w:rsidR="000E0C56">
        <w:t>baisse</w:t>
      </w:r>
      <w:r w:rsidR="000E0C56" w:rsidRPr="00E74A46">
        <w:t xml:space="preserve"> </w:t>
      </w:r>
      <w:r w:rsidRPr="00E74A46">
        <w:t xml:space="preserve">en passant de </w:t>
      </w:r>
      <w:r w:rsidR="000E0C56">
        <w:t>38,9</w:t>
      </w:r>
      <w:r w:rsidR="000E0C56" w:rsidRPr="00E74A46">
        <w:t xml:space="preserve"> </w:t>
      </w:r>
      <w:r w:rsidRPr="00E74A46">
        <w:t>% en 2009 à 3</w:t>
      </w:r>
      <w:r w:rsidR="000E0C56">
        <w:t>4,6</w:t>
      </w:r>
      <w:r w:rsidRPr="00E74A46">
        <w:t>% en 2010;</w:t>
      </w:r>
    </w:p>
    <w:p w:rsidR="00AB4942" w:rsidRPr="008D2996" w:rsidRDefault="00E74A46" w:rsidP="00AB4942">
      <w:pPr>
        <w:spacing w:line="240" w:lineRule="auto"/>
      </w:pPr>
      <w:r w:rsidRPr="00E74A46">
        <w:t xml:space="preserve">Agences directes et concédées : une forte hausse en passant de </w:t>
      </w:r>
      <w:r w:rsidR="000E0C56">
        <w:t>26,4</w:t>
      </w:r>
      <w:r w:rsidRPr="00E74A46">
        <w:t>% en 2009 à 44</w:t>
      </w:r>
      <w:r w:rsidR="000B519D">
        <w:t>,0</w:t>
      </w:r>
      <w:r w:rsidRPr="00E74A46">
        <w:t>% en 2010.</w:t>
      </w:r>
    </w:p>
    <w:p w:rsidR="00AB4942" w:rsidRPr="008D2996" w:rsidRDefault="00E74A46" w:rsidP="00AB4942">
      <w:pPr>
        <w:rPr>
          <w:b/>
        </w:rPr>
      </w:pPr>
      <w:r w:rsidRPr="00E74A46">
        <w:rPr>
          <w:b/>
        </w:rPr>
        <w:lastRenderedPageBreak/>
        <w:t>Structure par âge et niveau d’instruction</w:t>
      </w:r>
    </w:p>
    <w:p w:rsidR="00AB4942" w:rsidRPr="008D2996" w:rsidRDefault="00E74A46" w:rsidP="00AB4942">
      <w:r w:rsidRPr="00E74A46">
        <w:t>Parmi les trois classes d’âge ([-25 ans], [25-45] et [+ 45 ans]), la classe [25-45ans] représente presque les 2/3 soit (65</w:t>
      </w:r>
      <w:r w:rsidR="0083443C">
        <w:t>,2</w:t>
      </w:r>
      <w:r w:rsidRPr="00E74A46">
        <w:t>%) en 2010 en hausse  par rapport à 2009 (53</w:t>
      </w:r>
      <w:r w:rsidR="0083443C">
        <w:t>,</w:t>
      </w:r>
      <w:r w:rsidRPr="00E74A46">
        <w:t>5%). Une baisse pour la classe 45 ans et plus qui est passée de 41</w:t>
      </w:r>
      <w:r w:rsidR="0083443C">
        <w:t>,</w:t>
      </w:r>
      <w:r w:rsidRPr="00E74A46">
        <w:t>8% en 2009 à 32</w:t>
      </w:r>
      <w:r w:rsidR="0083443C">
        <w:t>,0</w:t>
      </w:r>
      <w:r w:rsidRPr="00E74A46">
        <w:t>% en 2010 ; de même pour la classe (-25 ans) qui enregistre une  régression passant de 4</w:t>
      </w:r>
      <w:r w:rsidR="0083443C">
        <w:t>,</w:t>
      </w:r>
      <w:r w:rsidRPr="00E74A46">
        <w:t>8% en 2009 à 2,8% en 2010.</w:t>
      </w:r>
    </w:p>
    <w:p w:rsidR="00AB4942" w:rsidRPr="008D2996" w:rsidRDefault="00E74A46" w:rsidP="00AB4942">
      <w:r w:rsidRPr="00E74A46">
        <w:t>On observe une tendance à l’élévation du poids des effectifs ayant une formation supérieure (de 34</w:t>
      </w:r>
      <w:r w:rsidR="0083443C">
        <w:t>,</w:t>
      </w:r>
      <w:r w:rsidRPr="00E74A46">
        <w:t>8% en 2009 à 37,5% en 2010), une hausse également pour le poids des effectifs sans instruction  qui est passé de 7</w:t>
      </w:r>
      <w:r w:rsidR="0083443C">
        <w:t>,</w:t>
      </w:r>
      <w:r w:rsidRPr="00E74A46">
        <w:t>8% en 2009 à 9,2% en 2010 .Un recul du poids des effectifs ayant un niveau secondaire (en passant de 37</w:t>
      </w:r>
      <w:r w:rsidR="0083443C">
        <w:t>,</w:t>
      </w:r>
      <w:r w:rsidRPr="00E74A46">
        <w:t>9 % en 2009 à 34,5% en 2010)  aussi le niveau primaire qui enregistre une baisse (il est passé de 19</w:t>
      </w:r>
      <w:r w:rsidR="0083443C">
        <w:t>,</w:t>
      </w:r>
      <w:r w:rsidRPr="00E74A46">
        <w:t>4% en 2009 pour atteindre 18,8% durant l’exercice 2010). Les deux niveaux (primaire et sans instruction), qui constitue l’essentiel de la catégorie des agents d’exécution, constituent néanmoins le quart de l’effectif (27</w:t>
      </w:r>
      <w:r w:rsidR="0083443C">
        <w:t>,</w:t>
      </w:r>
      <w:r w:rsidRPr="00E74A46">
        <w:t>2%).</w:t>
      </w:r>
    </w:p>
    <w:tbl>
      <w:tblPr>
        <w:tblW w:w="10082" w:type="dxa"/>
        <w:tblInd w:w="70" w:type="dxa"/>
        <w:tblCellMar>
          <w:left w:w="70" w:type="dxa"/>
          <w:right w:w="70" w:type="dxa"/>
        </w:tblCellMar>
        <w:tblLook w:val="04A0"/>
      </w:tblPr>
      <w:tblGrid>
        <w:gridCol w:w="2616"/>
        <w:gridCol w:w="361"/>
        <w:gridCol w:w="1679"/>
        <w:gridCol w:w="861"/>
        <w:gridCol w:w="1477"/>
        <w:gridCol w:w="1664"/>
        <w:gridCol w:w="1424"/>
      </w:tblGrid>
      <w:tr w:rsidR="00AB4942" w:rsidRPr="008D2996" w:rsidTr="00583537">
        <w:trPr>
          <w:trHeight w:val="666"/>
        </w:trPr>
        <w:tc>
          <w:tcPr>
            <w:tcW w:w="10082" w:type="dxa"/>
            <w:gridSpan w:val="7"/>
            <w:tcBorders>
              <w:top w:val="nil"/>
              <w:left w:val="nil"/>
              <w:bottom w:val="nil"/>
              <w:right w:val="nil"/>
            </w:tcBorders>
            <w:shd w:val="clear" w:color="auto" w:fill="auto"/>
            <w:vAlign w:val="bottom"/>
            <w:hideMark/>
          </w:tcPr>
          <w:p w:rsidR="00AB4942" w:rsidRPr="008D2996" w:rsidRDefault="00E74A46" w:rsidP="00583537">
            <w:pPr>
              <w:spacing w:after="0" w:line="240" w:lineRule="auto"/>
              <w:jc w:val="center"/>
            </w:pPr>
            <w:r w:rsidRPr="00E74A46">
              <w:t>Les effectifs, à travers les variables âge et niveau de qualification, se présentent comme suit :</w:t>
            </w:r>
          </w:p>
          <w:p w:rsidR="003A6049" w:rsidRDefault="003A6049">
            <w:pPr>
              <w:keepNext/>
              <w:spacing w:before="240" w:after="0" w:line="240" w:lineRule="auto"/>
              <w:outlineLvl w:val="0"/>
              <w:rPr>
                <w:rFonts w:cs="Arial"/>
                <w:b/>
                <w:bCs/>
                <w:caps/>
                <w:kern w:val="28"/>
                <w:sz w:val="20"/>
                <w:szCs w:val="20"/>
              </w:rPr>
            </w:pPr>
          </w:p>
          <w:p w:rsidR="00AB4942" w:rsidRPr="008D2996" w:rsidRDefault="00E74A46" w:rsidP="00583537">
            <w:pPr>
              <w:spacing w:after="0" w:line="240" w:lineRule="auto"/>
              <w:jc w:val="center"/>
              <w:rPr>
                <w:rFonts w:cs="Arial"/>
                <w:b/>
                <w:bCs/>
                <w:sz w:val="20"/>
                <w:szCs w:val="20"/>
              </w:rPr>
            </w:pPr>
            <w:r w:rsidRPr="00E74A46">
              <w:rPr>
                <w:rFonts w:cs="Arial"/>
                <w:b/>
                <w:bCs/>
                <w:sz w:val="20"/>
                <w:szCs w:val="20"/>
              </w:rPr>
              <w:t>Tableau n° 10.44 : Structure des effectifs par âge et niveau de qualification en 2010</w:t>
            </w:r>
          </w:p>
          <w:p w:rsidR="00AB4942" w:rsidRPr="008D2996" w:rsidRDefault="00AB4942" w:rsidP="00583537">
            <w:pPr>
              <w:keepNext/>
              <w:spacing w:before="240" w:after="0" w:line="240" w:lineRule="auto"/>
              <w:jc w:val="center"/>
              <w:outlineLvl w:val="0"/>
              <w:rPr>
                <w:rFonts w:cs="Arial"/>
                <w:b/>
                <w:bCs/>
                <w:sz w:val="20"/>
                <w:szCs w:val="20"/>
              </w:rPr>
            </w:pPr>
          </w:p>
        </w:tc>
      </w:tr>
      <w:tr w:rsidR="00AB4942" w:rsidRPr="008D2996" w:rsidTr="000C70A6">
        <w:trPr>
          <w:trHeight w:val="420"/>
        </w:trPr>
        <w:tc>
          <w:tcPr>
            <w:tcW w:w="2616" w:type="dxa"/>
            <w:tcBorders>
              <w:top w:val="nil"/>
              <w:left w:val="nil"/>
              <w:bottom w:val="single" w:sz="4" w:space="0" w:color="auto"/>
              <w:right w:val="nil"/>
            </w:tcBorders>
            <w:shd w:val="clear" w:color="auto" w:fill="auto"/>
            <w:noWrap/>
            <w:vAlign w:val="bottom"/>
            <w:hideMark/>
          </w:tcPr>
          <w:p w:rsidR="00AB4942" w:rsidRPr="008D2996" w:rsidRDefault="00AB4942" w:rsidP="00583537">
            <w:pPr>
              <w:keepNext/>
              <w:spacing w:before="240" w:after="0" w:line="240" w:lineRule="auto"/>
              <w:jc w:val="center"/>
              <w:outlineLvl w:val="0"/>
              <w:rPr>
                <w:rFonts w:cs="Arial"/>
                <w:sz w:val="20"/>
                <w:szCs w:val="20"/>
              </w:rPr>
            </w:pPr>
          </w:p>
        </w:tc>
        <w:tc>
          <w:tcPr>
            <w:tcW w:w="361" w:type="dxa"/>
            <w:tcBorders>
              <w:top w:val="nil"/>
              <w:left w:val="nil"/>
              <w:bottom w:val="nil"/>
              <w:right w:val="nil"/>
            </w:tcBorders>
            <w:shd w:val="clear" w:color="auto" w:fill="auto"/>
            <w:noWrap/>
            <w:vAlign w:val="bottom"/>
            <w:hideMark/>
          </w:tcPr>
          <w:p w:rsidR="00AB4942" w:rsidRPr="008D2996" w:rsidRDefault="00AB4942" w:rsidP="00583537">
            <w:pPr>
              <w:keepNext/>
              <w:spacing w:before="240" w:after="0" w:line="240" w:lineRule="auto"/>
              <w:jc w:val="center"/>
              <w:outlineLvl w:val="0"/>
              <w:rPr>
                <w:rFonts w:cs="Arial"/>
                <w:sz w:val="20"/>
                <w:szCs w:val="20"/>
              </w:rPr>
            </w:pPr>
          </w:p>
        </w:tc>
        <w:tc>
          <w:tcPr>
            <w:tcW w:w="1679" w:type="dxa"/>
            <w:tcBorders>
              <w:top w:val="nil"/>
              <w:left w:val="nil"/>
              <w:bottom w:val="nil"/>
            </w:tcBorders>
            <w:shd w:val="clear" w:color="auto" w:fill="auto"/>
            <w:noWrap/>
            <w:vAlign w:val="bottom"/>
            <w:hideMark/>
          </w:tcPr>
          <w:p w:rsidR="00AB4942" w:rsidRPr="008D2996" w:rsidRDefault="00AB4942" w:rsidP="00583537">
            <w:pPr>
              <w:keepNext/>
              <w:spacing w:before="240" w:after="0" w:line="240" w:lineRule="auto"/>
              <w:jc w:val="center"/>
              <w:outlineLvl w:val="0"/>
              <w:rPr>
                <w:rFonts w:cs="Arial"/>
                <w:sz w:val="20"/>
                <w:szCs w:val="20"/>
              </w:rPr>
            </w:pPr>
          </w:p>
        </w:tc>
        <w:tc>
          <w:tcPr>
            <w:tcW w:w="5426" w:type="dxa"/>
            <w:gridSpan w:val="4"/>
            <w:tcBorders>
              <w:bottom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Niveau de qualification (en nombre de l'effectif total)</w:t>
            </w:r>
          </w:p>
        </w:tc>
      </w:tr>
      <w:tr w:rsidR="00AB4942" w:rsidRPr="008D2996" w:rsidTr="000C70A6">
        <w:trPr>
          <w:trHeight w:val="300"/>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Age</w:t>
            </w:r>
          </w:p>
        </w:tc>
        <w:tc>
          <w:tcPr>
            <w:tcW w:w="361"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 </w:t>
            </w:r>
          </w:p>
        </w:tc>
        <w:tc>
          <w:tcPr>
            <w:tcW w:w="1679" w:type="dxa"/>
            <w:tcBorders>
              <w:top w:val="single" w:sz="4" w:space="0" w:color="auto"/>
              <w:left w:val="nil"/>
              <w:bottom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Effectif 2010</w:t>
            </w:r>
          </w:p>
        </w:tc>
        <w:tc>
          <w:tcPr>
            <w:tcW w:w="861" w:type="dxa"/>
            <w:tcBorders>
              <w:top w:val="nil"/>
              <w:bottom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 xml:space="preserve">Sans </w:t>
            </w:r>
          </w:p>
        </w:tc>
        <w:tc>
          <w:tcPr>
            <w:tcW w:w="1477" w:type="dxa"/>
            <w:tcBorders>
              <w:top w:val="nil"/>
              <w:bottom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Primaires</w:t>
            </w:r>
          </w:p>
        </w:tc>
        <w:tc>
          <w:tcPr>
            <w:tcW w:w="1664" w:type="dxa"/>
            <w:tcBorders>
              <w:top w:val="nil"/>
              <w:bottom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Secondaire</w:t>
            </w:r>
          </w:p>
        </w:tc>
        <w:tc>
          <w:tcPr>
            <w:tcW w:w="1424" w:type="dxa"/>
            <w:tcBorders>
              <w:top w:val="nil"/>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Supérieur</w:t>
            </w:r>
          </w:p>
        </w:tc>
      </w:tr>
      <w:tr w:rsidR="00AB4942" w:rsidRPr="008D2996" w:rsidTr="000C70A6">
        <w:trPr>
          <w:trHeight w:val="300"/>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&lt;à 25 ans</w:t>
            </w:r>
          </w:p>
        </w:tc>
        <w:tc>
          <w:tcPr>
            <w:tcW w:w="361"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AB4942" w:rsidP="00583537">
            <w:pPr>
              <w:keepNext/>
              <w:spacing w:before="240" w:after="0" w:line="240" w:lineRule="auto"/>
              <w:jc w:val="center"/>
              <w:outlineLvl w:val="0"/>
              <w:rPr>
                <w:rFonts w:cs="Arial"/>
                <w:b/>
                <w:bCs/>
                <w:sz w:val="20"/>
                <w:szCs w:val="20"/>
              </w:rPr>
            </w:pPr>
          </w:p>
        </w:tc>
        <w:tc>
          <w:tcPr>
            <w:tcW w:w="1679"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337</w:t>
            </w:r>
          </w:p>
        </w:tc>
        <w:tc>
          <w:tcPr>
            <w:tcW w:w="861"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18</w:t>
            </w:r>
          </w:p>
        </w:tc>
        <w:tc>
          <w:tcPr>
            <w:tcW w:w="1477"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26</w:t>
            </w:r>
          </w:p>
        </w:tc>
        <w:tc>
          <w:tcPr>
            <w:tcW w:w="1664"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151</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142</w:t>
            </w:r>
          </w:p>
        </w:tc>
      </w:tr>
      <w:tr w:rsidR="00AB4942" w:rsidRPr="008D2996" w:rsidTr="000C70A6">
        <w:trPr>
          <w:trHeight w:val="300"/>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 xml:space="preserve">25 à 45ans </w:t>
            </w:r>
          </w:p>
        </w:tc>
        <w:tc>
          <w:tcPr>
            <w:tcW w:w="361"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 </w:t>
            </w:r>
          </w:p>
        </w:tc>
        <w:tc>
          <w:tcPr>
            <w:tcW w:w="1679"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7875</w:t>
            </w:r>
          </w:p>
        </w:tc>
        <w:tc>
          <w:tcPr>
            <w:tcW w:w="861"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508</w:t>
            </w:r>
          </w:p>
        </w:tc>
        <w:tc>
          <w:tcPr>
            <w:tcW w:w="1477"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1140</w:t>
            </w:r>
          </w:p>
        </w:tc>
        <w:tc>
          <w:tcPr>
            <w:tcW w:w="1664"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2674</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3553</w:t>
            </w:r>
          </w:p>
        </w:tc>
      </w:tr>
      <w:tr w:rsidR="00AB4942" w:rsidRPr="008D2996" w:rsidTr="000C70A6">
        <w:trPr>
          <w:trHeight w:val="284"/>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 xml:space="preserve">&gt;à 45 ans </w:t>
            </w:r>
          </w:p>
        </w:tc>
        <w:tc>
          <w:tcPr>
            <w:tcW w:w="361"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AB4942" w:rsidP="00583537">
            <w:pPr>
              <w:keepNext/>
              <w:spacing w:before="240" w:after="0" w:line="240" w:lineRule="auto"/>
              <w:jc w:val="center"/>
              <w:outlineLvl w:val="0"/>
              <w:rPr>
                <w:rFonts w:cs="Arial"/>
                <w:b/>
                <w:bCs/>
                <w:sz w:val="20"/>
                <w:szCs w:val="20"/>
              </w:rPr>
            </w:pPr>
          </w:p>
        </w:tc>
        <w:tc>
          <w:tcPr>
            <w:tcW w:w="1679"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3859</w:t>
            </w:r>
          </w:p>
        </w:tc>
        <w:tc>
          <w:tcPr>
            <w:tcW w:w="861"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589</w:t>
            </w:r>
          </w:p>
        </w:tc>
        <w:tc>
          <w:tcPr>
            <w:tcW w:w="1477"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1101</w:t>
            </w:r>
          </w:p>
        </w:tc>
        <w:tc>
          <w:tcPr>
            <w:tcW w:w="1664"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1338</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AB4942" w:rsidRPr="008D2996" w:rsidRDefault="00E74A46" w:rsidP="00583537">
            <w:pPr>
              <w:jc w:val="center"/>
              <w:rPr>
                <w:rFonts w:cs="Arial"/>
                <w:sz w:val="20"/>
                <w:szCs w:val="20"/>
              </w:rPr>
            </w:pPr>
            <w:r w:rsidRPr="00E74A46">
              <w:rPr>
                <w:rFonts w:cs="Arial"/>
                <w:sz w:val="20"/>
                <w:szCs w:val="20"/>
              </w:rPr>
              <w:t>831</w:t>
            </w:r>
          </w:p>
        </w:tc>
      </w:tr>
      <w:tr w:rsidR="00AB4942" w:rsidRPr="008D2996" w:rsidTr="000C70A6">
        <w:trPr>
          <w:trHeight w:val="318"/>
        </w:trPr>
        <w:tc>
          <w:tcPr>
            <w:tcW w:w="261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Total</w:t>
            </w:r>
          </w:p>
        </w:tc>
        <w:tc>
          <w:tcPr>
            <w:tcW w:w="361" w:type="dxa"/>
            <w:tcBorders>
              <w:top w:val="single" w:sz="4" w:space="0" w:color="auto"/>
              <w:left w:val="single" w:sz="4" w:space="0" w:color="auto"/>
              <w:bottom w:val="single" w:sz="8" w:space="0" w:color="auto"/>
              <w:right w:val="nil"/>
            </w:tcBorders>
            <w:shd w:val="clear" w:color="auto" w:fill="auto"/>
            <w:noWrap/>
            <w:vAlign w:val="bottom"/>
            <w:hideMark/>
          </w:tcPr>
          <w:p w:rsidR="00AB4942" w:rsidRPr="008D2996" w:rsidRDefault="00E74A46" w:rsidP="00583537">
            <w:pPr>
              <w:spacing w:after="0" w:line="240" w:lineRule="auto"/>
              <w:jc w:val="center"/>
              <w:rPr>
                <w:rFonts w:cs="Arial"/>
                <w:b/>
                <w:bCs/>
                <w:sz w:val="20"/>
                <w:szCs w:val="20"/>
              </w:rPr>
            </w:pPr>
            <w:r w:rsidRPr="00E74A46">
              <w:rPr>
                <w:rFonts w:cs="Arial"/>
                <w:b/>
                <w:bCs/>
                <w:sz w:val="20"/>
                <w:szCs w:val="20"/>
              </w:rPr>
              <w:t> </w:t>
            </w:r>
          </w:p>
        </w:tc>
        <w:tc>
          <w:tcPr>
            <w:tcW w:w="1679" w:type="dxa"/>
            <w:tcBorders>
              <w:top w:val="single" w:sz="4"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12071</w:t>
            </w:r>
          </w:p>
        </w:tc>
        <w:tc>
          <w:tcPr>
            <w:tcW w:w="861" w:type="dxa"/>
            <w:tcBorders>
              <w:top w:val="single" w:sz="4"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1115</w:t>
            </w:r>
          </w:p>
        </w:tc>
        <w:tc>
          <w:tcPr>
            <w:tcW w:w="1477" w:type="dxa"/>
            <w:tcBorders>
              <w:top w:val="single" w:sz="4"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2267</w:t>
            </w:r>
          </w:p>
        </w:tc>
        <w:tc>
          <w:tcPr>
            <w:tcW w:w="1664" w:type="dxa"/>
            <w:tcBorders>
              <w:top w:val="single" w:sz="4"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4163</w:t>
            </w:r>
          </w:p>
        </w:tc>
        <w:tc>
          <w:tcPr>
            <w:tcW w:w="1424" w:type="dxa"/>
            <w:tcBorders>
              <w:top w:val="single" w:sz="4" w:space="0" w:color="auto"/>
              <w:left w:val="nil"/>
              <w:bottom w:val="single" w:sz="8" w:space="0" w:color="auto"/>
              <w:right w:val="single" w:sz="4" w:space="0" w:color="auto"/>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4526</w:t>
            </w:r>
          </w:p>
        </w:tc>
      </w:tr>
      <w:tr w:rsidR="00AB4942" w:rsidRPr="008D2996" w:rsidTr="00583537">
        <w:trPr>
          <w:trHeight w:val="300"/>
        </w:trPr>
        <w:tc>
          <w:tcPr>
            <w:tcW w:w="2977" w:type="dxa"/>
            <w:gridSpan w:val="2"/>
            <w:tcBorders>
              <w:top w:val="nil"/>
              <w:left w:val="nil"/>
              <w:bottom w:val="nil"/>
              <w:right w:val="nil"/>
            </w:tcBorders>
            <w:shd w:val="clear" w:color="auto" w:fill="auto"/>
            <w:noWrap/>
            <w:vAlign w:val="bottom"/>
            <w:hideMark/>
          </w:tcPr>
          <w:p w:rsidR="00AB4942" w:rsidRPr="008D2996" w:rsidRDefault="00E74A46" w:rsidP="00583537">
            <w:pPr>
              <w:spacing w:after="0" w:line="240" w:lineRule="auto"/>
              <w:jc w:val="left"/>
              <w:rPr>
                <w:rFonts w:cs="Arial"/>
                <w:sz w:val="16"/>
                <w:szCs w:val="16"/>
              </w:rPr>
            </w:pPr>
            <w:r w:rsidRPr="00E74A46">
              <w:rPr>
                <w:rFonts w:cs="Arial"/>
                <w:sz w:val="16"/>
                <w:szCs w:val="16"/>
              </w:rPr>
              <w:t>Non comprises les données de la GAM et MAATEC</w:t>
            </w:r>
          </w:p>
        </w:tc>
        <w:tc>
          <w:tcPr>
            <w:tcW w:w="1679"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center"/>
              <w:rPr>
                <w:rFonts w:cs="Arial"/>
                <w:sz w:val="20"/>
                <w:szCs w:val="20"/>
              </w:rPr>
            </w:pPr>
          </w:p>
        </w:tc>
        <w:tc>
          <w:tcPr>
            <w:tcW w:w="861"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center"/>
              <w:rPr>
                <w:rFonts w:cs="Arial"/>
                <w:sz w:val="20"/>
                <w:szCs w:val="20"/>
              </w:rPr>
            </w:pPr>
          </w:p>
        </w:tc>
        <w:tc>
          <w:tcPr>
            <w:tcW w:w="1477"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center"/>
              <w:rPr>
                <w:rFonts w:cs="Arial"/>
                <w:sz w:val="20"/>
                <w:szCs w:val="20"/>
              </w:rPr>
            </w:pPr>
          </w:p>
        </w:tc>
        <w:tc>
          <w:tcPr>
            <w:tcW w:w="1664"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center"/>
              <w:rPr>
                <w:rFonts w:cs="Arial"/>
                <w:sz w:val="20"/>
                <w:szCs w:val="20"/>
              </w:rPr>
            </w:pPr>
          </w:p>
        </w:tc>
        <w:tc>
          <w:tcPr>
            <w:tcW w:w="1424"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center"/>
              <w:rPr>
                <w:rFonts w:cs="Arial"/>
                <w:sz w:val="20"/>
                <w:szCs w:val="20"/>
              </w:rPr>
            </w:pPr>
          </w:p>
        </w:tc>
      </w:tr>
    </w:tbl>
    <w:p w:rsidR="00AB4942" w:rsidRPr="008D2996" w:rsidRDefault="00E74A46" w:rsidP="00AB4942">
      <w:pPr>
        <w:spacing w:after="0" w:line="240" w:lineRule="auto"/>
        <w:jc w:val="center"/>
        <w:rPr>
          <w:rFonts w:cs="Arial"/>
          <w:b/>
          <w:bCs/>
          <w:sz w:val="20"/>
          <w:szCs w:val="20"/>
        </w:rPr>
      </w:pPr>
      <w:r w:rsidRPr="00E74A46">
        <w:rPr>
          <w:rFonts w:cs="Arial"/>
          <w:b/>
          <w:bCs/>
          <w:sz w:val="20"/>
          <w:szCs w:val="20"/>
        </w:rPr>
        <w:t xml:space="preserve">                     </w:t>
      </w:r>
    </w:p>
    <w:p w:rsidR="00AB4942" w:rsidRPr="008D2996" w:rsidRDefault="00AB4942" w:rsidP="00AB4942">
      <w:pPr>
        <w:spacing w:after="0" w:line="240" w:lineRule="auto"/>
        <w:jc w:val="center"/>
        <w:rPr>
          <w:rFonts w:cs="Arial"/>
          <w:b/>
          <w:bCs/>
          <w:sz w:val="20"/>
          <w:szCs w:val="20"/>
        </w:rPr>
      </w:pPr>
    </w:p>
    <w:p w:rsidR="00AB4942" w:rsidRPr="008D2996" w:rsidRDefault="00E74A46" w:rsidP="00AB4942">
      <w:pPr>
        <w:spacing w:after="0" w:line="240" w:lineRule="auto"/>
        <w:jc w:val="center"/>
        <w:rPr>
          <w:rFonts w:cs="Arial"/>
          <w:b/>
          <w:bCs/>
          <w:sz w:val="20"/>
          <w:szCs w:val="20"/>
        </w:rPr>
      </w:pPr>
      <w:r w:rsidRPr="00E74A46">
        <w:rPr>
          <w:rFonts w:cs="Arial"/>
          <w:b/>
          <w:bCs/>
          <w:sz w:val="20"/>
          <w:szCs w:val="20"/>
        </w:rPr>
        <w:t xml:space="preserve">             Tableau n° 10.44-1 : Structure des effectifs par âge et niveau de qualification en  2010 comparée à 2009.</w:t>
      </w:r>
    </w:p>
    <w:p w:rsidR="00AB4942" w:rsidRPr="008D2996" w:rsidRDefault="00AB4942" w:rsidP="00AB4942">
      <w:pPr>
        <w:spacing w:after="0" w:line="240" w:lineRule="auto"/>
        <w:jc w:val="center"/>
        <w:rPr>
          <w:rFonts w:cs="Arial"/>
          <w:b/>
          <w:bCs/>
          <w:sz w:val="20"/>
          <w:szCs w:val="20"/>
        </w:rPr>
      </w:pPr>
    </w:p>
    <w:tbl>
      <w:tblPr>
        <w:tblW w:w="10104" w:type="dxa"/>
        <w:tblInd w:w="70" w:type="dxa"/>
        <w:tblCellMar>
          <w:left w:w="70" w:type="dxa"/>
          <w:right w:w="70" w:type="dxa"/>
        </w:tblCellMar>
        <w:tblLook w:val="04A0"/>
      </w:tblPr>
      <w:tblGrid>
        <w:gridCol w:w="2296"/>
        <w:gridCol w:w="1076"/>
        <w:gridCol w:w="1556"/>
        <w:gridCol w:w="825"/>
        <w:gridCol w:w="1365"/>
        <w:gridCol w:w="1590"/>
        <w:gridCol w:w="1396"/>
      </w:tblGrid>
      <w:tr w:rsidR="00AB4942" w:rsidRPr="008D2996" w:rsidTr="00583537">
        <w:trPr>
          <w:trHeight w:val="344"/>
        </w:trPr>
        <w:tc>
          <w:tcPr>
            <w:tcW w:w="2296"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1076"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1556"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5176" w:type="dxa"/>
            <w:gridSpan w:val="4"/>
            <w:tcBorders>
              <w:top w:val="single" w:sz="4" w:space="0" w:color="auto"/>
              <w:left w:val="nil"/>
              <w:bottom w:val="single" w:sz="4" w:space="0" w:color="auto"/>
              <w:right w:val="nil"/>
            </w:tcBorders>
            <w:shd w:val="clear" w:color="auto" w:fill="auto"/>
            <w:noWrap/>
            <w:vAlign w:val="center"/>
            <w:hideMark/>
          </w:tcPr>
          <w:p w:rsidR="00AB4942" w:rsidRPr="008D2996" w:rsidRDefault="00E74A46" w:rsidP="00583537">
            <w:pPr>
              <w:spacing w:after="0" w:line="240" w:lineRule="auto"/>
              <w:jc w:val="left"/>
              <w:rPr>
                <w:rFonts w:cs="Arial"/>
                <w:sz w:val="20"/>
                <w:szCs w:val="20"/>
              </w:rPr>
            </w:pPr>
            <w:r w:rsidRPr="00E74A46">
              <w:rPr>
                <w:rFonts w:cs="Arial"/>
                <w:sz w:val="20"/>
                <w:szCs w:val="20"/>
              </w:rPr>
              <w:t xml:space="preserve">Niveau de qualification </w:t>
            </w:r>
          </w:p>
        </w:tc>
      </w:tr>
      <w:tr w:rsidR="00AB4942" w:rsidRPr="008D2996" w:rsidTr="00583537">
        <w:trPr>
          <w:trHeight w:val="720"/>
        </w:trPr>
        <w:tc>
          <w:tcPr>
            <w:tcW w:w="2296"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Age</w:t>
            </w:r>
          </w:p>
        </w:tc>
        <w:tc>
          <w:tcPr>
            <w:tcW w:w="1076" w:type="dxa"/>
            <w:tcBorders>
              <w:top w:val="single" w:sz="4" w:space="0" w:color="auto"/>
              <w:left w:val="nil"/>
              <w:bottom w:val="single" w:sz="4" w:space="0" w:color="auto"/>
              <w:right w:val="nil"/>
            </w:tcBorders>
            <w:shd w:val="clear" w:color="000000" w:fill="C0C0C0"/>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Effectif en % 2009</w:t>
            </w:r>
          </w:p>
        </w:tc>
        <w:tc>
          <w:tcPr>
            <w:tcW w:w="1556" w:type="dxa"/>
            <w:tcBorders>
              <w:top w:val="single" w:sz="4" w:space="0" w:color="auto"/>
              <w:left w:val="nil"/>
              <w:bottom w:val="single" w:sz="4" w:space="0" w:color="auto"/>
              <w:right w:val="nil"/>
            </w:tcBorders>
            <w:shd w:val="clear" w:color="auto" w:fill="auto"/>
            <w:vAlign w:val="bottom"/>
            <w:hideMark/>
          </w:tcPr>
          <w:p w:rsidR="00AB4942" w:rsidRPr="008D2996" w:rsidRDefault="00E74A46" w:rsidP="00583537">
            <w:pPr>
              <w:spacing w:after="0" w:line="240" w:lineRule="auto"/>
              <w:jc w:val="center"/>
              <w:rPr>
                <w:rFonts w:cs="Arial"/>
                <w:sz w:val="20"/>
                <w:szCs w:val="20"/>
              </w:rPr>
            </w:pPr>
            <w:r w:rsidRPr="00E74A46">
              <w:rPr>
                <w:rFonts w:cs="Arial"/>
                <w:sz w:val="20"/>
                <w:szCs w:val="20"/>
              </w:rPr>
              <w:t>Effectif en % 2010</w:t>
            </w:r>
          </w:p>
        </w:tc>
        <w:tc>
          <w:tcPr>
            <w:tcW w:w="825" w:type="dxa"/>
            <w:tcBorders>
              <w:top w:val="nil"/>
              <w:left w:val="nil"/>
              <w:bottom w:val="single" w:sz="4" w:space="0" w:color="auto"/>
              <w:right w:val="nil"/>
            </w:tcBorders>
            <w:shd w:val="clear" w:color="auto" w:fill="auto"/>
            <w:noWrap/>
            <w:vAlign w:val="center"/>
            <w:hideMark/>
          </w:tcPr>
          <w:p w:rsidR="00AB4942" w:rsidRPr="008D2996" w:rsidRDefault="00E74A46" w:rsidP="00583537">
            <w:pPr>
              <w:spacing w:after="0" w:line="240" w:lineRule="auto"/>
              <w:jc w:val="right"/>
              <w:rPr>
                <w:rFonts w:cs="Arial"/>
                <w:sz w:val="20"/>
                <w:szCs w:val="20"/>
              </w:rPr>
            </w:pPr>
            <w:r w:rsidRPr="00E74A46">
              <w:rPr>
                <w:rFonts w:cs="Arial"/>
                <w:sz w:val="20"/>
                <w:szCs w:val="20"/>
              </w:rPr>
              <w:t xml:space="preserve">Sans </w:t>
            </w:r>
          </w:p>
        </w:tc>
        <w:tc>
          <w:tcPr>
            <w:tcW w:w="1365" w:type="dxa"/>
            <w:tcBorders>
              <w:top w:val="nil"/>
              <w:left w:val="nil"/>
              <w:bottom w:val="single" w:sz="4" w:space="0" w:color="auto"/>
              <w:right w:val="nil"/>
            </w:tcBorders>
            <w:shd w:val="clear" w:color="auto" w:fill="auto"/>
            <w:noWrap/>
            <w:vAlign w:val="center"/>
            <w:hideMark/>
          </w:tcPr>
          <w:p w:rsidR="00AB4942" w:rsidRPr="008D2996" w:rsidRDefault="00E74A46" w:rsidP="00583537">
            <w:pPr>
              <w:spacing w:after="0" w:line="240" w:lineRule="auto"/>
              <w:jc w:val="right"/>
              <w:rPr>
                <w:rFonts w:cs="Arial"/>
                <w:sz w:val="20"/>
                <w:szCs w:val="20"/>
              </w:rPr>
            </w:pPr>
            <w:r w:rsidRPr="00E74A46">
              <w:rPr>
                <w:rFonts w:cs="Arial"/>
                <w:sz w:val="20"/>
                <w:szCs w:val="20"/>
              </w:rPr>
              <w:t>Primaires</w:t>
            </w:r>
          </w:p>
        </w:tc>
        <w:tc>
          <w:tcPr>
            <w:tcW w:w="1590" w:type="dxa"/>
            <w:tcBorders>
              <w:top w:val="nil"/>
              <w:left w:val="nil"/>
              <w:bottom w:val="single" w:sz="4" w:space="0" w:color="auto"/>
              <w:right w:val="nil"/>
            </w:tcBorders>
            <w:shd w:val="clear" w:color="auto" w:fill="auto"/>
            <w:noWrap/>
            <w:vAlign w:val="center"/>
            <w:hideMark/>
          </w:tcPr>
          <w:p w:rsidR="00AB4942" w:rsidRPr="008D2996" w:rsidRDefault="00E74A46" w:rsidP="00583537">
            <w:pPr>
              <w:spacing w:after="0" w:line="240" w:lineRule="auto"/>
              <w:jc w:val="right"/>
              <w:rPr>
                <w:rFonts w:cs="Arial"/>
                <w:sz w:val="20"/>
                <w:szCs w:val="20"/>
              </w:rPr>
            </w:pPr>
            <w:r w:rsidRPr="00E74A46">
              <w:rPr>
                <w:rFonts w:cs="Arial"/>
                <w:sz w:val="20"/>
                <w:szCs w:val="20"/>
              </w:rPr>
              <w:t>Secondaire</w:t>
            </w:r>
          </w:p>
        </w:tc>
        <w:tc>
          <w:tcPr>
            <w:tcW w:w="1396" w:type="dxa"/>
            <w:tcBorders>
              <w:top w:val="nil"/>
              <w:left w:val="nil"/>
              <w:bottom w:val="single" w:sz="4" w:space="0" w:color="auto"/>
              <w:right w:val="single" w:sz="4" w:space="0" w:color="auto"/>
            </w:tcBorders>
            <w:shd w:val="clear" w:color="auto" w:fill="auto"/>
            <w:noWrap/>
            <w:vAlign w:val="center"/>
            <w:hideMark/>
          </w:tcPr>
          <w:p w:rsidR="00AB4942" w:rsidRPr="008D2996" w:rsidRDefault="00E74A46" w:rsidP="00583537">
            <w:pPr>
              <w:spacing w:after="0" w:line="240" w:lineRule="auto"/>
              <w:jc w:val="right"/>
              <w:rPr>
                <w:rFonts w:cs="Arial"/>
                <w:sz w:val="20"/>
                <w:szCs w:val="20"/>
              </w:rPr>
            </w:pPr>
            <w:r w:rsidRPr="00E74A46">
              <w:rPr>
                <w:rFonts w:cs="Arial"/>
                <w:sz w:val="20"/>
                <w:szCs w:val="20"/>
              </w:rPr>
              <w:t>Supérieur</w:t>
            </w:r>
          </w:p>
        </w:tc>
      </w:tr>
      <w:tr w:rsidR="00AB4942" w:rsidRPr="008D2996" w:rsidTr="00583537">
        <w:trPr>
          <w:trHeight w:val="220"/>
        </w:trPr>
        <w:tc>
          <w:tcPr>
            <w:tcW w:w="2296" w:type="dxa"/>
            <w:tcBorders>
              <w:top w:val="nil"/>
              <w:left w:val="single" w:sz="4" w:space="0" w:color="auto"/>
              <w:bottom w:val="nil"/>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&lt;à 25 ans</w:t>
            </w:r>
          </w:p>
        </w:tc>
        <w:tc>
          <w:tcPr>
            <w:tcW w:w="1076" w:type="dxa"/>
            <w:tcBorders>
              <w:top w:val="nil"/>
              <w:left w:val="nil"/>
              <w:bottom w:val="single" w:sz="4" w:space="0" w:color="auto"/>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4,8%</w:t>
            </w:r>
          </w:p>
        </w:tc>
        <w:tc>
          <w:tcPr>
            <w:tcW w:w="1556" w:type="dxa"/>
            <w:tcBorders>
              <w:top w:val="nil"/>
              <w:left w:val="nil"/>
              <w:bottom w:val="nil"/>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2,8%</w:t>
            </w:r>
          </w:p>
        </w:tc>
        <w:tc>
          <w:tcPr>
            <w:tcW w:w="825"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5,3%</w:t>
            </w:r>
          </w:p>
        </w:tc>
        <w:tc>
          <w:tcPr>
            <w:tcW w:w="1365"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7,7%</w:t>
            </w:r>
          </w:p>
        </w:tc>
        <w:tc>
          <w:tcPr>
            <w:tcW w:w="1590"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44,8%</w:t>
            </w:r>
          </w:p>
        </w:tc>
        <w:tc>
          <w:tcPr>
            <w:tcW w:w="1396" w:type="dxa"/>
            <w:tcBorders>
              <w:top w:val="nil"/>
              <w:left w:val="nil"/>
              <w:bottom w:val="nil"/>
              <w:right w:val="single" w:sz="4" w:space="0" w:color="auto"/>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42,1%</w:t>
            </w:r>
          </w:p>
        </w:tc>
      </w:tr>
      <w:tr w:rsidR="00AB4942" w:rsidRPr="008D2996" w:rsidTr="00583537">
        <w:trPr>
          <w:trHeight w:val="240"/>
        </w:trPr>
        <w:tc>
          <w:tcPr>
            <w:tcW w:w="2296"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 xml:space="preserve">25 à 45ans </w:t>
            </w:r>
          </w:p>
        </w:tc>
        <w:tc>
          <w:tcPr>
            <w:tcW w:w="1076" w:type="dxa"/>
            <w:tcBorders>
              <w:top w:val="nil"/>
              <w:left w:val="nil"/>
              <w:bottom w:val="single" w:sz="4" w:space="0" w:color="auto"/>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53,5%</w:t>
            </w:r>
          </w:p>
        </w:tc>
        <w:tc>
          <w:tcPr>
            <w:tcW w:w="1556"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65,2%</w:t>
            </w:r>
          </w:p>
        </w:tc>
        <w:tc>
          <w:tcPr>
            <w:tcW w:w="825"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6,5%</w:t>
            </w:r>
          </w:p>
        </w:tc>
        <w:tc>
          <w:tcPr>
            <w:tcW w:w="1365"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14,5%</w:t>
            </w:r>
          </w:p>
        </w:tc>
        <w:tc>
          <w:tcPr>
            <w:tcW w:w="1590" w:type="dxa"/>
            <w:tcBorders>
              <w:top w:val="single" w:sz="4" w:space="0" w:color="auto"/>
              <w:left w:val="nil"/>
              <w:bottom w:val="single" w:sz="4" w:space="0" w:color="auto"/>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34,0%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45,1%</w:t>
            </w:r>
          </w:p>
        </w:tc>
      </w:tr>
      <w:tr w:rsidR="00AB4942" w:rsidRPr="008D2996" w:rsidTr="00583537">
        <w:trPr>
          <w:trHeight w:val="284"/>
        </w:trPr>
        <w:tc>
          <w:tcPr>
            <w:tcW w:w="2296" w:type="dxa"/>
            <w:tcBorders>
              <w:top w:val="nil"/>
              <w:left w:val="single" w:sz="4" w:space="0" w:color="auto"/>
              <w:bottom w:val="nil"/>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 xml:space="preserve">&gt;à 45 ans </w:t>
            </w:r>
          </w:p>
        </w:tc>
        <w:tc>
          <w:tcPr>
            <w:tcW w:w="1076" w:type="dxa"/>
            <w:tcBorders>
              <w:top w:val="nil"/>
              <w:left w:val="nil"/>
              <w:bottom w:val="single" w:sz="4" w:space="0" w:color="auto"/>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41,8%</w:t>
            </w:r>
          </w:p>
        </w:tc>
        <w:tc>
          <w:tcPr>
            <w:tcW w:w="1556" w:type="dxa"/>
            <w:tcBorders>
              <w:top w:val="nil"/>
              <w:left w:val="nil"/>
              <w:bottom w:val="nil"/>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32,0%</w:t>
            </w:r>
          </w:p>
        </w:tc>
        <w:tc>
          <w:tcPr>
            <w:tcW w:w="825"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15,3%</w:t>
            </w:r>
          </w:p>
        </w:tc>
        <w:tc>
          <w:tcPr>
            <w:tcW w:w="1365"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28,5%</w:t>
            </w:r>
          </w:p>
        </w:tc>
        <w:tc>
          <w:tcPr>
            <w:tcW w:w="1590" w:type="dxa"/>
            <w:tcBorders>
              <w:top w:val="nil"/>
              <w:left w:val="nil"/>
              <w:bottom w:val="nil"/>
              <w:right w:val="nil"/>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34,7%</w:t>
            </w:r>
          </w:p>
        </w:tc>
        <w:tc>
          <w:tcPr>
            <w:tcW w:w="1396" w:type="dxa"/>
            <w:tcBorders>
              <w:top w:val="nil"/>
              <w:left w:val="nil"/>
              <w:bottom w:val="nil"/>
              <w:right w:val="single" w:sz="4" w:space="0" w:color="auto"/>
            </w:tcBorders>
            <w:shd w:val="clear" w:color="auto" w:fill="auto"/>
            <w:noWrap/>
            <w:vAlign w:val="bottom"/>
            <w:hideMark/>
          </w:tcPr>
          <w:p w:rsidR="00AB4942" w:rsidRPr="008D2996" w:rsidRDefault="00E74A46" w:rsidP="00583537">
            <w:pPr>
              <w:jc w:val="right"/>
              <w:rPr>
                <w:rFonts w:cs="Arial"/>
                <w:sz w:val="20"/>
                <w:szCs w:val="20"/>
              </w:rPr>
            </w:pPr>
            <w:r w:rsidRPr="00E74A46">
              <w:rPr>
                <w:rFonts w:cs="Arial"/>
                <w:sz w:val="20"/>
                <w:szCs w:val="20"/>
              </w:rPr>
              <w:t>21,5%</w:t>
            </w:r>
          </w:p>
        </w:tc>
      </w:tr>
      <w:tr w:rsidR="00AB4942" w:rsidRPr="008D2996" w:rsidTr="00583537">
        <w:trPr>
          <w:trHeight w:val="141"/>
        </w:trPr>
        <w:tc>
          <w:tcPr>
            <w:tcW w:w="2296" w:type="dxa"/>
            <w:tcBorders>
              <w:top w:val="single" w:sz="4" w:space="0" w:color="auto"/>
              <w:left w:val="single" w:sz="4" w:space="0" w:color="auto"/>
              <w:bottom w:val="nil"/>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Total 2010</w:t>
            </w:r>
          </w:p>
        </w:tc>
        <w:tc>
          <w:tcPr>
            <w:tcW w:w="1076" w:type="dxa"/>
            <w:tcBorders>
              <w:top w:val="nil"/>
              <w:left w:val="nil"/>
              <w:bottom w:val="nil"/>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 </w:t>
            </w:r>
          </w:p>
        </w:tc>
        <w:tc>
          <w:tcPr>
            <w:tcW w:w="1556" w:type="dxa"/>
            <w:tcBorders>
              <w:top w:val="single" w:sz="4" w:space="0" w:color="auto"/>
              <w:left w:val="nil"/>
              <w:bottom w:val="nil"/>
              <w:right w:val="nil"/>
            </w:tcBorders>
            <w:shd w:val="clear" w:color="auto" w:fill="auto"/>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 </w:t>
            </w:r>
          </w:p>
        </w:tc>
        <w:tc>
          <w:tcPr>
            <w:tcW w:w="825" w:type="dxa"/>
            <w:tcBorders>
              <w:top w:val="single" w:sz="4" w:space="0" w:color="auto"/>
              <w:left w:val="nil"/>
              <w:bottom w:val="nil"/>
              <w:right w:val="nil"/>
            </w:tcBorders>
            <w:shd w:val="clear" w:color="auto" w:fill="auto"/>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9,2%</w:t>
            </w:r>
          </w:p>
        </w:tc>
        <w:tc>
          <w:tcPr>
            <w:tcW w:w="1365" w:type="dxa"/>
            <w:tcBorders>
              <w:top w:val="single" w:sz="4" w:space="0" w:color="auto"/>
              <w:left w:val="nil"/>
              <w:bottom w:val="nil"/>
              <w:right w:val="nil"/>
            </w:tcBorders>
            <w:shd w:val="clear" w:color="auto" w:fill="auto"/>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18,8%</w:t>
            </w:r>
          </w:p>
        </w:tc>
        <w:tc>
          <w:tcPr>
            <w:tcW w:w="1590" w:type="dxa"/>
            <w:tcBorders>
              <w:top w:val="single" w:sz="4" w:space="0" w:color="auto"/>
              <w:left w:val="nil"/>
              <w:bottom w:val="nil"/>
              <w:right w:val="nil"/>
            </w:tcBorders>
            <w:shd w:val="clear" w:color="auto" w:fill="auto"/>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34,5%</w:t>
            </w:r>
          </w:p>
        </w:tc>
        <w:tc>
          <w:tcPr>
            <w:tcW w:w="1396" w:type="dxa"/>
            <w:tcBorders>
              <w:top w:val="single" w:sz="4" w:space="0" w:color="auto"/>
              <w:left w:val="nil"/>
              <w:bottom w:val="nil"/>
              <w:right w:val="single" w:sz="4" w:space="0" w:color="auto"/>
            </w:tcBorders>
            <w:shd w:val="clear" w:color="auto" w:fill="auto"/>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37,5%</w:t>
            </w:r>
          </w:p>
        </w:tc>
      </w:tr>
      <w:tr w:rsidR="00AB4942" w:rsidRPr="008D2996" w:rsidTr="00583537">
        <w:trPr>
          <w:trHeight w:val="259"/>
        </w:trPr>
        <w:tc>
          <w:tcPr>
            <w:tcW w:w="2296" w:type="dxa"/>
            <w:tcBorders>
              <w:top w:val="single" w:sz="4" w:space="0" w:color="auto"/>
              <w:left w:val="single" w:sz="4" w:space="0" w:color="auto"/>
              <w:bottom w:val="single" w:sz="4" w:space="0" w:color="auto"/>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Total 2009</w:t>
            </w:r>
          </w:p>
        </w:tc>
        <w:tc>
          <w:tcPr>
            <w:tcW w:w="1076" w:type="dxa"/>
            <w:tcBorders>
              <w:top w:val="single" w:sz="4" w:space="0" w:color="auto"/>
              <w:left w:val="nil"/>
              <w:bottom w:val="single" w:sz="4" w:space="0" w:color="auto"/>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 </w:t>
            </w:r>
          </w:p>
        </w:tc>
        <w:tc>
          <w:tcPr>
            <w:tcW w:w="1556" w:type="dxa"/>
            <w:tcBorders>
              <w:top w:val="single" w:sz="4" w:space="0" w:color="auto"/>
              <w:left w:val="nil"/>
              <w:bottom w:val="single" w:sz="4" w:space="0" w:color="auto"/>
              <w:right w:val="nil"/>
            </w:tcBorders>
            <w:shd w:val="clear" w:color="000000" w:fill="C0C0C0"/>
            <w:noWrap/>
            <w:vAlign w:val="bottom"/>
            <w:hideMark/>
          </w:tcPr>
          <w:p w:rsidR="00AB4942" w:rsidRPr="008D2996" w:rsidRDefault="00E74A46" w:rsidP="00583537">
            <w:pPr>
              <w:jc w:val="center"/>
              <w:rPr>
                <w:rFonts w:cs="Arial"/>
                <w:b/>
                <w:bCs/>
                <w:sz w:val="20"/>
                <w:szCs w:val="20"/>
              </w:rPr>
            </w:pPr>
            <w:r w:rsidRPr="00E74A46">
              <w:rPr>
                <w:rFonts w:cs="Arial"/>
                <w:b/>
                <w:bCs/>
                <w:sz w:val="20"/>
                <w:szCs w:val="20"/>
              </w:rPr>
              <w:t> </w:t>
            </w:r>
          </w:p>
        </w:tc>
        <w:tc>
          <w:tcPr>
            <w:tcW w:w="825" w:type="dxa"/>
            <w:tcBorders>
              <w:top w:val="single" w:sz="4" w:space="0" w:color="auto"/>
              <w:left w:val="nil"/>
              <w:bottom w:val="single" w:sz="4" w:space="0" w:color="auto"/>
              <w:right w:val="nil"/>
            </w:tcBorders>
            <w:shd w:val="clear" w:color="000000" w:fill="C0C0C0"/>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7,8%</w:t>
            </w:r>
          </w:p>
        </w:tc>
        <w:tc>
          <w:tcPr>
            <w:tcW w:w="1365" w:type="dxa"/>
            <w:tcBorders>
              <w:top w:val="single" w:sz="4" w:space="0" w:color="auto"/>
              <w:left w:val="nil"/>
              <w:bottom w:val="single" w:sz="4" w:space="0" w:color="auto"/>
              <w:right w:val="nil"/>
            </w:tcBorders>
            <w:shd w:val="clear" w:color="000000" w:fill="C0C0C0"/>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19,4%</w:t>
            </w:r>
          </w:p>
        </w:tc>
        <w:tc>
          <w:tcPr>
            <w:tcW w:w="1590" w:type="dxa"/>
            <w:tcBorders>
              <w:top w:val="single" w:sz="4" w:space="0" w:color="auto"/>
              <w:left w:val="nil"/>
              <w:bottom w:val="single" w:sz="4" w:space="0" w:color="auto"/>
              <w:right w:val="nil"/>
            </w:tcBorders>
            <w:shd w:val="clear" w:color="000000" w:fill="C0C0C0"/>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37,9%</w:t>
            </w:r>
          </w:p>
        </w:tc>
        <w:tc>
          <w:tcPr>
            <w:tcW w:w="1396" w:type="dxa"/>
            <w:tcBorders>
              <w:top w:val="single" w:sz="4" w:space="0" w:color="auto"/>
              <w:left w:val="nil"/>
              <w:bottom w:val="single" w:sz="4" w:space="0" w:color="auto"/>
              <w:right w:val="single" w:sz="4" w:space="0" w:color="auto"/>
            </w:tcBorders>
            <w:shd w:val="clear" w:color="000000" w:fill="C0C0C0"/>
            <w:noWrap/>
            <w:vAlign w:val="bottom"/>
            <w:hideMark/>
          </w:tcPr>
          <w:p w:rsidR="00AB4942" w:rsidRPr="008D2996" w:rsidRDefault="00E74A46" w:rsidP="00583537">
            <w:pPr>
              <w:jc w:val="right"/>
              <w:rPr>
                <w:rFonts w:cs="Arial"/>
                <w:b/>
                <w:bCs/>
                <w:sz w:val="20"/>
                <w:szCs w:val="20"/>
              </w:rPr>
            </w:pPr>
            <w:r w:rsidRPr="00E74A46">
              <w:rPr>
                <w:rFonts w:cs="Arial"/>
                <w:b/>
                <w:bCs/>
                <w:sz w:val="20"/>
                <w:szCs w:val="20"/>
              </w:rPr>
              <w:t>34,8%</w:t>
            </w:r>
          </w:p>
        </w:tc>
      </w:tr>
      <w:tr w:rsidR="00AB4942" w:rsidRPr="008D2996" w:rsidTr="00583537">
        <w:trPr>
          <w:trHeight w:val="255"/>
        </w:trPr>
        <w:tc>
          <w:tcPr>
            <w:tcW w:w="4928" w:type="dxa"/>
            <w:gridSpan w:val="3"/>
            <w:tcBorders>
              <w:top w:val="nil"/>
              <w:left w:val="nil"/>
              <w:bottom w:val="nil"/>
              <w:right w:val="nil"/>
            </w:tcBorders>
            <w:shd w:val="clear" w:color="auto" w:fill="auto"/>
            <w:noWrap/>
            <w:vAlign w:val="bottom"/>
            <w:hideMark/>
          </w:tcPr>
          <w:p w:rsidR="00AB4942" w:rsidRPr="008D2996" w:rsidRDefault="00E74A46" w:rsidP="00583537">
            <w:pPr>
              <w:spacing w:after="0" w:line="240" w:lineRule="auto"/>
              <w:jc w:val="left"/>
              <w:rPr>
                <w:rFonts w:cs="Arial"/>
                <w:sz w:val="16"/>
                <w:szCs w:val="16"/>
              </w:rPr>
            </w:pPr>
            <w:r w:rsidRPr="00E74A46">
              <w:rPr>
                <w:rFonts w:cs="Arial"/>
                <w:sz w:val="16"/>
                <w:szCs w:val="16"/>
              </w:rPr>
              <w:t>Manque les données de la GAM et de la MAATEC</w:t>
            </w:r>
            <w:r w:rsidR="00783233">
              <w:rPr>
                <w:rFonts w:cs="Arial"/>
                <w:sz w:val="16"/>
                <w:szCs w:val="16"/>
              </w:rPr>
              <w:t>.</w:t>
            </w:r>
          </w:p>
        </w:tc>
        <w:tc>
          <w:tcPr>
            <w:tcW w:w="825"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1365"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1590"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c>
          <w:tcPr>
            <w:tcW w:w="1396" w:type="dxa"/>
            <w:tcBorders>
              <w:top w:val="nil"/>
              <w:left w:val="nil"/>
              <w:bottom w:val="nil"/>
              <w:right w:val="nil"/>
            </w:tcBorders>
            <w:shd w:val="clear" w:color="auto" w:fill="auto"/>
            <w:noWrap/>
            <w:vAlign w:val="bottom"/>
            <w:hideMark/>
          </w:tcPr>
          <w:p w:rsidR="00AB4942" w:rsidRPr="008D2996" w:rsidRDefault="00AB4942" w:rsidP="00583537">
            <w:pPr>
              <w:spacing w:after="0" w:line="240" w:lineRule="auto"/>
              <w:jc w:val="left"/>
              <w:rPr>
                <w:rFonts w:cs="Arial"/>
                <w:sz w:val="20"/>
                <w:szCs w:val="20"/>
              </w:rPr>
            </w:pPr>
          </w:p>
        </w:tc>
      </w:tr>
    </w:tbl>
    <w:p w:rsidR="00AB4942" w:rsidRPr="008D2996" w:rsidRDefault="00AB4942" w:rsidP="00AB4942"/>
    <w:p w:rsidR="00AB4942" w:rsidRPr="008D2996" w:rsidRDefault="00AB4942" w:rsidP="00AB4942">
      <w:pPr>
        <w:spacing w:after="0" w:line="240" w:lineRule="auto"/>
        <w:jc w:val="left"/>
        <w:rPr>
          <w:b/>
          <w:bCs/>
          <w:color w:val="000000"/>
          <w:sz w:val="18"/>
          <w:szCs w:val="18"/>
          <w:highlight w:val="yellow"/>
        </w:rPr>
      </w:pPr>
    </w:p>
    <w:p w:rsidR="009C6D03" w:rsidRPr="008D2996" w:rsidRDefault="009C6D03" w:rsidP="00AB4942">
      <w:pPr>
        <w:spacing w:after="0" w:line="240" w:lineRule="auto"/>
        <w:jc w:val="left"/>
        <w:rPr>
          <w:b/>
          <w:bCs/>
          <w:color w:val="000000"/>
          <w:sz w:val="18"/>
          <w:szCs w:val="18"/>
          <w:highlight w:val="yellow"/>
        </w:rPr>
      </w:pPr>
    </w:p>
    <w:p w:rsidR="009C6D03" w:rsidRPr="008D2996" w:rsidRDefault="009C6D03" w:rsidP="00AB4942">
      <w:pPr>
        <w:spacing w:after="0" w:line="240" w:lineRule="auto"/>
        <w:jc w:val="left"/>
        <w:rPr>
          <w:b/>
          <w:bCs/>
          <w:color w:val="000000"/>
          <w:sz w:val="18"/>
          <w:szCs w:val="18"/>
          <w:highlight w:val="yellow"/>
        </w:rPr>
      </w:pPr>
    </w:p>
    <w:p w:rsidR="003A6049" w:rsidRDefault="003A6049">
      <w:pPr>
        <w:spacing w:after="60" w:line="240" w:lineRule="auto"/>
        <w:rPr>
          <w:b/>
          <w:bCs/>
          <w:color w:val="000000"/>
          <w:sz w:val="18"/>
          <w:szCs w:val="18"/>
        </w:rPr>
      </w:pPr>
    </w:p>
    <w:p w:rsidR="00AB4942" w:rsidRPr="008D2996" w:rsidRDefault="00E74A46" w:rsidP="00AB4942">
      <w:pPr>
        <w:spacing w:after="60" w:line="240" w:lineRule="auto"/>
        <w:jc w:val="center"/>
        <w:rPr>
          <w:b/>
          <w:bCs/>
          <w:color w:val="000000"/>
          <w:sz w:val="18"/>
          <w:szCs w:val="18"/>
        </w:rPr>
      </w:pPr>
      <w:r w:rsidRPr="00E74A46">
        <w:rPr>
          <w:b/>
          <w:bCs/>
          <w:color w:val="000000"/>
          <w:sz w:val="18"/>
          <w:szCs w:val="18"/>
        </w:rPr>
        <w:lastRenderedPageBreak/>
        <w:t>Graphe n°10.25 : Répartition des effectifs par âge</w:t>
      </w:r>
    </w:p>
    <w:p w:rsidR="00AB4942" w:rsidRPr="008D2996" w:rsidRDefault="00670B8C" w:rsidP="00AB4942">
      <w:pPr>
        <w:spacing w:after="60" w:line="240" w:lineRule="auto"/>
        <w:jc w:val="center"/>
        <w:rPr>
          <w:b/>
          <w:bCs/>
          <w:color w:val="000000"/>
          <w:sz w:val="18"/>
          <w:szCs w:val="18"/>
          <w:highlight w:val="yellow"/>
        </w:rPr>
      </w:pPr>
      <w:r>
        <w:rPr>
          <w:b/>
          <w:bCs/>
          <w:noProof/>
          <w:color w:val="000000"/>
          <w:sz w:val="18"/>
          <w:szCs w:val="18"/>
        </w:rPr>
        <w:drawing>
          <wp:inline distT="0" distB="0" distL="0" distR="0">
            <wp:extent cx="4572000" cy="2057400"/>
            <wp:effectExtent l="19050" t="0" r="19050" b="0"/>
            <wp:docPr id="23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B4942" w:rsidRPr="008D2996" w:rsidRDefault="00E74A46" w:rsidP="00AB4942">
      <w:pPr>
        <w:keepNext/>
        <w:keepLines/>
        <w:spacing w:before="240" w:after="60"/>
      </w:pPr>
      <w:r w:rsidRPr="00E74A46">
        <w:t>Les données indiquent une situation que l’on peut qualifi</w:t>
      </w:r>
      <w:r w:rsidR="0083443C">
        <w:t>er</w:t>
      </w:r>
      <w:r w:rsidRPr="00E74A46">
        <w:t xml:space="preserve"> de positive.</w:t>
      </w:r>
      <w:r w:rsidRPr="00E74A46">
        <w:rPr>
          <w:b/>
          <w:bCs/>
          <w:sz w:val="17"/>
          <w:szCs w:val="17"/>
        </w:rPr>
        <w:t xml:space="preserve"> </w:t>
      </w:r>
      <w:r w:rsidRPr="00E74A46">
        <w:t xml:space="preserve">En effet deux tiers de l’effectif ont moins de 45 ans, ce qui signifie que les plus âgés de cette classe ont au minimum dix années de travail avant de prendre leur retraite, sauf à recourir à la retraite anticipée. </w:t>
      </w:r>
    </w:p>
    <w:p w:rsidR="00AB4942" w:rsidRPr="008D2996" w:rsidRDefault="00E74A46" w:rsidP="00AB4942">
      <w:r w:rsidRPr="00E74A46">
        <w:t>Les employés âgés de moins de 45ans dotés d’un diplôme supérieur représentent plus d</w:t>
      </w:r>
      <w:r w:rsidR="00342405">
        <w:t>u quart</w:t>
      </w:r>
      <w:r w:rsidRPr="00E74A46">
        <w:t xml:space="preserve"> de l’effectif total (3</w:t>
      </w:r>
      <w:r w:rsidR="00342405">
        <w:t>0,6</w:t>
      </w:r>
      <w:r w:rsidRPr="00E74A46">
        <w:t>%). Si on y ajoute les effectifs dotés d’un niveau d’instruction secondaire, ils constituent plus que la moitié des salariés (54</w:t>
      </w:r>
      <w:r w:rsidR="00342405">
        <w:t>,0</w:t>
      </w:r>
      <w:r w:rsidRPr="00E74A46">
        <w:t xml:space="preserve">%). </w:t>
      </w:r>
    </w:p>
    <w:p w:rsidR="00AB4942" w:rsidRPr="008D2996" w:rsidRDefault="00AB4942" w:rsidP="00AB4942">
      <w:pPr>
        <w:pStyle w:val="Titre3"/>
      </w:pPr>
    </w:p>
    <w:p w:rsidR="00AB4942" w:rsidRPr="008D2996" w:rsidRDefault="00E74A46" w:rsidP="00AB4942">
      <w:pPr>
        <w:pStyle w:val="Titre3"/>
      </w:pPr>
      <w:bookmarkStart w:id="549" w:name="_Toc326156024"/>
      <w:bookmarkStart w:id="550" w:name="_Toc327883458"/>
      <w:bookmarkStart w:id="551" w:name="_Toc327883638"/>
      <w:bookmarkStart w:id="552" w:name="_Toc327883984"/>
      <w:bookmarkStart w:id="553" w:name="_Toc327885051"/>
      <w:bookmarkStart w:id="554" w:name="_Toc327885636"/>
      <w:bookmarkStart w:id="555" w:name="_Toc327916563"/>
      <w:r w:rsidRPr="00E74A46">
        <w:t>Répartition géographique</w:t>
      </w:r>
      <w:bookmarkEnd w:id="549"/>
      <w:bookmarkEnd w:id="550"/>
      <w:bookmarkEnd w:id="551"/>
      <w:bookmarkEnd w:id="552"/>
      <w:bookmarkEnd w:id="553"/>
      <w:bookmarkEnd w:id="554"/>
      <w:bookmarkEnd w:id="555"/>
    </w:p>
    <w:p w:rsidR="00AB4942" w:rsidRPr="008D2996" w:rsidRDefault="00E74A46" w:rsidP="00E20F22">
      <w:r w:rsidRPr="00E74A46">
        <w:t xml:space="preserve">L’examen de la répartition </w:t>
      </w:r>
      <w:r w:rsidR="00E20F22" w:rsidRPr="00E74A46">
        <w:t>géographique</w:t>
      </w:r>
      <w:r w:rsidRPr="00E74A46">
        <w:t xml:space="preserve"> des effectifs des sociétés en 2010 fait ressortir une concentration sur  cinq  centres urbains (Alger, Oran, Annaba, Constantine et Tizi-Ouzou) qui totalisent 55,6% de l’effectif total. Par rapport à 2009 et pour ces 5 villes, on note une  augmentation de 3 %. Alger à elle seule, concentre plus du tiers des effectifs (37,2% en 2010 contre 33,7% en 2009). </w:t>
      </w:r>
    </w:p>
    <w:p w:rsidR="00AB4942" w:rsidRPr="008D2996" w:rsidRDefault="00E74A46" w:rsidP="00AB4942">
      <w:r w:rsidRPr="00E74A46">
        <w:t xml:space="preserve">Les effectifs employés dans les métropoles régionales (Oran,  Constantine, Annaba et Tizi-Ouzou) sont respectivement de 6,2%; 4,3%, 3,9% et 3,9% en 2010. Par rapport à 2009, on a enregistré une stagnation pour les quatre villes (Oran,  Constantine, Annaba et Tizi-Ouzou). </w:t>
      </w:r>
    </w:p>
    <w:p w:rsidR="00AB4942" w:rsidRPr="008D2996" w:rsidRDefault="00E74A46" w:rsidP="00AB4942">
      <w:r w:rsidRPr="00E74A46">
        <w:t xml:space="preserve">Pour les autres localités, trois villes affichent plus de 2,5% de l’effectif total soit     </w:t>
      </w:r>
      <w:r w:rsidRPr="00E74A46">
        <w:br/>
        <w:t>Sétif (3,8%) et Blida (3,2%) et Batna (2,9%).</w:t>
      </w:r>
    </w:p>
    <w:p w:rsidR="00AB4942" w:rsidRPr="008D2996" w:rsidRDefault="00670B8C" w:rsidP="00AB4942">
      <w:pPr>
        <w:jc w:val="center"/>
      </w:pPr>
      <w:r>
        <w:rPr>
          <w:noProof/>
        </w:rPr>
        <w:lastRenderedPageBreak/>
        <w:drawing>
          <wp:inline distT="0" distB="0" distL="0" distR="0">
            <wp:extent cx="5760720" cy="3644900"/>
            <wp:effectExtent l="19050" t="0" r="11430" b="0"/>
            <wp:docPr id="23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B4942" w:rsidRPr="008D2996" w:rsidRDefault="00E74A46" w:rsidP="00AB4942">
      <w:pPr>
        <w:pStyle w:val="Titre2"/>
        <w:rPr>
          <w:b/>
        </w:rPr>
      </w:pPr>
      <w:bookmarkStart w:id="556" w:name="_Toc326156025"/>
      <w:bookmarkStart w:id="557" w:name="_Toc327883459"/>
      <w:bookmarkStart w:id="558" w:name="_Toc327883639"/>
      <w:bookmarkStart w:id="559" w:name="_Toc327883985"/>
      <w:bookmarkStart w:id="560" w:name="_Toc327885052"/>
      <w:bookmarkStart w:id="561" w:name="_Toc327885637"/>
      <w:bookmarkStart w:id="562" w:name="_Toc327916564"/>
      <w:r w:rsidRPr="00E74A46">
        <w:rPr>
          <w:b/>
        </w:rPr>
        <w:t>La Formation :</w:t>
      </w:r>
      <w:bookmarkEnd w:id="556"/>
      <w:bookmarkEnd w:id="557"/>
      <w:bookmarkEnd w:id="558"/>
      <w:bookmarkEnd w:id="559"/>
      <w:bookmarkEnd w:id="560"/>
      <w:bookmarkEnd w:id="561"/>
      <w:bookmarkEnd w:id="562"/>
    </w:p>
    <w:p w:rsidR="00AB4942" w:rsidRPr="008D2996" w:rsidRDefault="00E74A46" w:rsidP="00AB4942">
      <w:pPr>
        <w:spacing w:after="100" w:afterAutospacing="1"/>
      </w:pPr>
      <w:r w:rsidRPr="00E74A46">
        <w:t xml:space="preserve">Les actions de formation au sein des sociétés se répartissent en quatre types : cycle long (durée supérieure à un an), cycle court (durée inférieure à un an), stages (durée de moins d’un mois) et séminaires. </w:t>
      </w:r>
    </w:p>
    <w:p w:rsidR="00AB4942" w:rsidRPr="008D2996" w:rsidRDefault="00E74A46" w:rsidP="00AB4942">
      <w:pPr>
        <w:spacing w:after="100" w:afterAutospacing="1"/>
      </w:pPr>
      <w:r w:rsidRPr="00E74A46">
        <w:t>Si les formations de type « cycle long » peuvent être considérées, dans certains cas, comme formation initiale lorsque les bénéficiaires sont sous contrat «formation avant emploi» et qu’elles sont sanctionnées par un diplôme</w:t>
      </w:r>
      <w:r w:rsidR="00D170AD">
        <w:t>,</w:t>
      </w:r>
      <w:r w:rsidRPr="00E74A46">
        <w:t xml:space="preserve"> les autres types de formation relèvent de la formation continue.</w:t>
      </w:r>
    </w:p>
    <w:p w:rsidR="00AB4942" w:rsidRPr="008D2996" w:rsidRDefault="00E74A46" w:rsidP="00AB4942">
      <w:pPr>
        <w:pStyle w:val="Titre3"/>
        <w:spacing w:before="0"/>
      </w:pPr>
      <w:bookmarkStart w:id="563" w:name="_Toc326156026"/>
      <w:bookmarkStart w:id="564" w:name="_Toc327883460"/>
      <w:bookmarkStart w:id="565" w:name="_Toc327883640"/>
      <w:bookmarkStart w:id="566" w:name="_Toc327883986"/>
      <w:bookmarkStart w:id="567" w:name="_Toc327885053"/>
      <w:bookmarkStart w:id="568" w:name="_Toc327885638"/>
      <w:bookmarkStart w:id="569" w:name="_Toc327916565"/>
      <w:r w:rsidRPr="00E74A46">
        <w:t xml:space="preserve">Effectifs en formation par </w:t>
      </w:r>
      <w:r w:rsidR="00D170AD">
        <w:t xml:space="preserve">catégorie socioprofessionnelle </w:t>
      </w:r>
      <w:r w:rsidRPr="00E74A46">
        <w:t>et type de formation</w:t>
      </w:r>
      <w:bookmarkEnd w:id="563"/>
      <w:bookmarkEnd w:id="564"/>
      <w:bookmarkEnd w:id="565"/>
      <w:bookmarkEnd w:id="566"/>
      <w:bookmarkEnd w:id="567"/>
      <w:bookmarkEnd w:id="568"/>
      <w:bookmarkEnd w:id="569"/>
    </w:p>
    <w:p w:rsidR="00AB4942" w:rsidRPr="008D2996" w:rsidRDefault="00E74A46" w:rsidP="00AB4942">
      <w:r w:rsidRPr="00E74A46">
        <w:t>Durant l’exercice 2010, le bilan est le suivant :</w:t>
      </w:r>
    </w:p>
    <w:tbl>
      <w:tblPr>
        <w:tblW w:w="10136" w:type="dxa"/>
        <w:tblCellMar>
          <w:left w:w="0" w:type="dxa"/>
          <w:right w:w="0" w:type="dxa"/>
        </w:tblCellMar>
        <w:tblLook w:val="04A0"/>
      </w:tblPr>
      <w:tblGrid>
        <w:gridCol w:w="2372"/>
        <w:gridCol w:w="1390"/>
        <w:gridCol w:w="1466"/>
        <w:gridCol w:w="1372"/>
        <w:gridCol w:w="1200"/>
        <w:gridCol w:w="1200"/>
        <w:gridCol w:w="1200"/>
      </w:tblGrid>
      <w:tr w:rsidR="00AB4942" w:rsidRPr="008D2996" w:rsidTr="00583537">
        <w:trPr>
          <w:trHeight w:val="190"/>
        </w:trPr>
        <w:tc>
          <w:tcPr>
            <w:tcW w:w="6584" w:type="dxa"/>
            <w:gridSpan w:val="4"/>
            <w:tcBorders>
              <w:top w:val="nil"/>
              <w:left w:val="nil"/>
              <w:bottom w:val="single" w:sz="8" w:space="0" w:color="auto"/>
              <w:right w:val="nil"/>
            </w:tcBorders>
            <w:shd w:val="clear" w:color="auto" w:fill="auto"/>
            <w:noWrap/>
            <w:vAlign w:val="bottom"/>
            <w:hideMark/>
          </w:tcPr>
          <w:p w:rsidR="00AB4942" w:rsidRPr="008D2996" w:rsidRDefault="00E74A46" w:rsidP="00583537">
            <w:pPr>
              <w:rPr>
                <w:rFonts w:cs="Arial"/>
                <w:b/>
                <w:bCs/>
                <w:sz w:val="20"/>
                <w:szCs w:val="20"/>
              </w:rPr>
            </w:pPr>
            <w:r w:rsidRPr="00E74A46">
              <w:rPr>
                <w:rFonts w:cs="Arial"/>
                <w:b/>
                <w:bCs/>
                <w:sz w:val="20"/>
                <w:szCs w:val="20"/>
              </w:rPr>
              <w:t>Tableau n°10.45 : Effectif formé ou en cours de formation par grade</w:t>
            </w:r>
          </w:p>
        </w:tc>
        <w:tc>
          <w:tcPr>
            <w:tcW w:w="1184" w:type="dxa"/>
            <w:tcBorders>
              <w:top w:val="nil"/>
              <w:left w:val="nil"/>
              <w:bottom w:val="single" w:sz="8" w:space="0" w:color="auto"/>
              <w:right w:val="nil"/>
            </w:tcBorders>
            <w:shd w:val="clear" w:color="auto" w:fill="auto"/>
            <w:noWrap/>
            <w:vAlign w:val="bottom"/>
            <w:hideMark/>
          </w:tcPr>
          <w:p w:rsidR="00AB4942" w:rsidRPr="008D2996" w:rsidRDefault="00AB4942" w:rsidP="00583537">
            <w:pPr>
              <w:keepNext/>
              <w:spacing w:before="120"/>
              <w:outlineLvl w:val="2"/>
              <w:rPr>
                <w:rFonts w:cs="Arial"/>
                <w:b/>
                <w:bCs/>
                <w:sz w:val="20"/>
                <w:szCs w:val="20"/>
              </w:rPr>
            </w:pPr>
          </w:p>
        </w:tc>
        <w:tc>
          <w:tcPr>
            <w:tcW w:w="1184" w:type="dxa"/>
            <w:tcBorders>
              <w:top w:val="nil"/>
              <w:left w:val="nil"/>
              <w:bottom w:val="single" w:sz="8" w:space="0" w:color="auto"/>
              <w:right w:val="nil"/>
            </w:tcBorders>
            <w:shd w:val="clear" w:color="auto" w:fill="auto"/>
            <w:noWrap/>
            <w:vAlign w:val="bottom"/>
            <w:hideMark/>
          </w:tcPr>
          <w:p w:rsidR="00AB4942" w:rsidRPr="008D2996" w:rsidRDefault="00AB4942" w:rsidP="00583537">
            <w:pPr>
              <w:keepNext/>
              <w:spacing w:before="120"/>
              <w:outlineLvl w:val="2"/>
              <w:rPr>
                <w:rFonts w:cs="Arial"/>
                <w:b/>
                <w:bCs/>
                <w:sz w:val="20"/>
                <w:szCs w:val="20"/>
              </w:rPr>
            </w:pPr>
          </w:p>
        </w:tc>
        <w:tc>
          <w:tcPr>
            <w:tcW w:w="1184" w:type="dxa"/>
            <w:tcBorders>
              <w:top w:val="nil"/>
              <w:left w:val="nil"/>
              <w:bottom w:val="single" w:sz="8" w:space="0" w:color="auto"/>
              <w:right w:val="nil"/>
            </w:tcBorders>
            <w:shd w:val="clear" w:color="auto" w:fill="auto"/>
            <w:noWrap/>
            <w:vAlign w:val="bottom"/>
            <w:hideMark/>
          </w:tcPr>
          <w:p w:rsidR="00AB4942" w:rsidRPr="008D2996" w:rsidRDefault="00AB4942" w:rsidP="00583537">
            <w:pPr>
              <w:keepNext/>
              <w:spacing w:before="120"/>
              <w:outlineLvl w:val="2"/>
              <w:rPr>
                <w:rFonts w:cs="Arial"/>
                <w:b/>
                <w:bCs/>
                <w:sz w:val="20"/>
                <w:szCs w:val="20"/>
              </w:rPr>
            </w:pPr>
          </w:p>
        </w:tc>
      </w:tr>
      <w:tr w:rsidR="00AB4942" w:rsidRPr="008D2996" w:rsidTr="00583537">
        <w:trPr>
          <w:trHeight w:val="426"/>
        </w:trPr>
        <w:tc>
          <w:tcPr>
            <w:tcW w:w="23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4942" w:rsidRPr="008D2996" w:rsidRDefault="00E74A46" w:rsidP="00583537">
            <w:pPr>
              <w:jc w:val="center"/>
              <w:rPr>
                <w:rFonts w:cs="Arial"/>
                <w:b/>
                <w:bCs/>
                <w:color w:val="000000"/>
              </w:rPr>
            </w:pPr>
            <w:r w:rsidRPr="00E74A46">
              <w:rPr>
                <w:rFonts w:cs="Arial"/>
                <w:b/>
                <w:bCs/>
                <w:color w:val="000000"/>
              </w:rPr>
              <w:t>Effectif formé</w:t>
            </w:r>
          </w:p>
        </w:tc>
        <w:tc>
          <w:tcPr>
            <w:tcW w:w="1395" w:type="dxa"/>
            <w:tcBorders>
              <w:top w:val="single" w:sz="8" w:space="0" w:color="auto"/>
              <w:left w:val="nil"/>
              <w:bottom w:val="single" w:sz="8" w:space="0" w:color="auto"/>
              <w:right w:val="nil"/>
            </w:tcBorders>
            <w:shd w:val="clear" w:color="auto" w:fill="auto"/>
            <w:vAlign w:val="center"/>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Cycle long &gt; 1 an</w:t>
            </w:r>
          </w:p>
        </w:tc>
        <w:tc>
          <w:tcPr>
            <w:tcW w:w="1504" w:type="dxa"/>
            <w:tcBorders>
              <w:top w:val="single" w:sz="8" w:space="0" w:color="auto"/>
              <w:left w:val="nil"/>
              <w:bottom w:val="single" w:sz="8" w:space="0" w:color="auto"/>
              <w:right w:val="nil"/>
            </w:tcBorders>
            <w:shd w:val="clear" w:color="auto" w:fill="auto"/>
            <w:vAlign w:val="center"/>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Cycle court &lt; 1 an et &gt; 1 mois</w:t>
            </w:r>
          </w:p>
        </w:tc>
        <w:tc>
          <w:tcPr>
            <w:tcW w:w="1377" w:type="dxa"/>
            <w:tcBorders>
              <w:top w:val="single" w:sz="8" w:space="0" w:color="auto"/>
              <w:left w:val="nil"/>
              <w:bottom w:val="single" w:sz="8" w:space="0" w:color="auto"/>
              <w:right w:val="nil"/>
            </w:tcBorders>
            <w:shd w:val="clear" w:color="auto" w:fill="auto"/>
            <w:vAlign w:val="center"/>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Stage &lt; 1 mois</w:t>
            </w:r>
          </w:p>
        </w:tc>
        <w:tc>
          <w:tcPr>
            <w:tcW w:w="1184" w:type="dxa"/>
            <w:tcBorders>
              <w:top w:val="single" w:sz="8" w:space="0" w:color="auto"/>
              <w:left w:val="nil"/>
              <w:bottom w:val="single" w:sz="8" w:space="0" w:color="auto"/>
              <w:right w:val="nil"/>
            </w:tcBorders>
            <w:shd w:val="clear" w:color="auto" w:fill="auto"/>
            <w:vAlign w:val="center"/>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 xml:space="preserve">Séminaire </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4942" w:rsidRPr="008D2996" w:rsidRDefault="00E74A46" w:rsidP="00583537">
            <w:pPr>
              <w:jc w:val="center"/>
              <w:rPr>
                <w:rFonts w:cs="Arial"/>
                <w:b/>
                <w:bCs/>
                <w:color w:val="000000"/>
                <w:sz w:val="20"/>
                <w:szCs w:val="20"/>
                <w:vertAlign w:val="superscript"/>
              </w:rPr>
            </w:pPr>
            <w:r w:rsidRPr="00E74A46">
              <w:rPr>
                <w:rFonts w:cs="Arial"/>
                <w:b/>
                <w:bCs/>
                <w:color w:val="000000"/>
                <w:sz w:val="20"/>
                <w:szCs w:val="20"/>
              </w:rPr>
              <w:t>Total 2010</w:t>
            </w:r>
            <w:r>
              <w:rPr>
                <w:rFonts w:cs="Arial"/>
                <w:b/>
                <w:bCs/>
                <w:color w:val="000000"/>
                <w:sz w:val="20"/>
                <w:szCs w:val="20"/>
                <w:vertAlign w:val="superscript"/>
              </w:rPr>
              <w:t>1</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Total 2009</w:t>
            </w:r>
            <w:r>
              <w:rPr>
                <w:rFonts w:cs="Arial"/>
                <w:b/>
                <w:bCs/>
                <w:color w:val="000000"/>
                <w:sz w:val="20"/>
                <w:szCs w:val="20"/>
                <w:vertAlign w:val="superscript"/>
              </w:rPr>
              <w:t>2</w:t>
            </w:r>
          </w:p>
        </w:tc>
      </w:tr>
      <w:tr w:rsidR="00AB4942" w:rsidRPr="008D2996" w:rsidTr="00583537">
        <w:trPr>
          <w:trHeight w:val="350"/>
        </w:trPr>
        <w:tc>
          <w:tcPr>
            <w:tcW w:w="230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B4942" w:rsidRPr="008D2996" w:rsidRDefault="00E74A46" w:rsidP="00583537">
            <w:pPr>
              <w:rPr>
                <w:rFonts w:cs="Arial"/>
                <w:b/>
                <w:bCs/>
                <w:color w:val="000000"/>
                <w:sz w:val="20"/>
                <w:szCs w:val="20"/>
              </w:rPr>
            </w:pPr>
            <w:r w:rsidRPr="00E74A46">
              <w:rPr>
                <w:rFonts w:cs="Arial"/>
                <w:b/>
                <w:bCs/>
                <w:color w:val="000000"/>
                <w:sz w:val="20"/>
                <w:szCs w:val="20"/>
              </w:rPr>
              <w:t>Maîtrise</w:t>
            </w:r>
          </w:p>
        </w:tc>
        <w:tc>
          <w:tcPr>
            <w:tcW w:w="1395"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156</w:t>
            </w:r>
          </w:p>
        </w:tc>
        <w:tc>
          <w:tcPr>
            <w:tcW w:w="150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269</w:t>
            </w:r>
          </w:p>
        </w:tc>
        <w:tc>
          <w:tcPr>
            <w:tcW w:w="1377"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87</w:t>
            </w:r>
          </w:p>
        </w:tc>
        <w:tc>
          <w:tcPr>
            <w:tcW w:w="118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483</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995</w:t>
            </w:r>
          </w:p>
        </w:tc>
        <w:tc>
          <w:tcPr>
            <w:tcW w:w="1184" w:type="dxa"/>
            <w:tcBorders>
              <w:top w:val="single" w:sz="8" w:space="0" w:color="auto"/>
              <w:left w:val="nil"/>
              <w:bottom w:val="single" w:sz="8" w:space="0" w:color="auto"/>
              <w:right w:val="single" w:sz="8" w:space="0" w:color="auto"/>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933</w:t>
            </w:r>
          </w:p>
        </w:tc>
      </w:tr>
      <w:tr w:rsidR="00AB4942" w:rsidRPr="008D2996" w:rsidTr="00583537">
        <w:trPr>
          <w:trHeight w:val="420"/>
        </w:trPr>
        <w:tc>
          <w:tcPr>
            <w:tcW w:w="230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B4942" w:rsidRPr="008D2996" w:rsidRDefault="00E74A46" w:rsidP="00583537">
            <w:pPr>
              <w:rPr>
                <w:rFonts w:cs="Arial"/>
                <w:b/>
                <w:bCs/>
                <w:color w:val="000000"/>
                <w:sz w:val="20"/>
                <w:szCs w:val="20"/>
              </w:rPr>
            </w:pPr>
            <w:r w:rsidRPr="00E74A46">
              <w:rPr>
                <w:rFonts w:cs="Arial"/>
                <w:b/>
                <w:bCs/>
                <w:color w:val="000000"/>
                <w:sz w:val="20"/>
                <w:szCs w:val="20"/>
              </w:rPr>
              <w:t>Exécution</w:t>
            </w:r>
          </w:p>
        </w:tc>
        <w:tc>
          <w:tcPr>
            <w:tcW w:w="1395"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25</w:t>
            </w:r>
          </w:p>
        </w:tc>
        <w:tc>
          <w:tcPr>
            <w:tcW w:w="150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5</w:t>
            </w:r>
          </w:p>
        </w:tc>
        <w:tc>
          <w:tcPr>
            <w:tcW w:w="1377"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0</w:t>
            </w:r>
          </w:p>
        </w:tc>
        <w:tc>
          <w:tcPr>
            <w:tcW w:w="118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0</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30</w:t>
            </w:r>
          </w:p>
        </w:tc>
        <w:tc>
          <w:tcPr>
            <w:tcW w:w="1184" w:type="dxa"/>
            <w:tcBorders>
              <w:top w:val="single" w:sz="8" w:space="0" w:color="auto"/>
              <w:left w:val="nil"/>
              <w:bottom w:val="single" w:sz="8" w:space="0" w:color="auto"/>
              <w:right w:val="single" w:sz="8" w:space="0" w:color="auto"/>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7</w:t>
            </w:r>
          </w:p>
        </w:tc>
      </w:tr>
      <w:tr w:rsidR="00AB4942" w:rsidRPr="008D2996" w:rsidTr="00583537">
        <w:trPr>
          <w:trHeight w:val="375"/>
        </w:trPr>
        <w:tc>
          <w:tcPr>
            <w:tcW w:w="230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B4942" w:rsidRPr="008D2996" w:rsidRDefault="00E74A46" w:rsidP="00583537">
            <w:pPr>
              <w:rPr>
                <w:rFonts w:cs="Arial"/>
                <w:b/>
                <w:bCs/>
                <w:color w:val="000000"/>
                <w:sz w:val="20"/>
                <w:szCs w:val="20"/>
              </w:rPr>
            </w:pPr>
            <w:r w:rsidRPr="00E74A46">
              <w:rPr>
                <w:rFonts w:cs="Arial"/>
                <w:b/>
                <w:bCs/>
                <w:color w:val="000000"/>
                <w:sz w:val="20"/>
                <w:szCs w:val="20"/>
              </w:rPr>
              <w:t>Cadre</w:t>
            </w:r>
          </w:p>
        </w:tc>
        <w:tc>
          <w:tcPr>
            <w:tcW w:w="1395"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163</w:t>
            </w:r>
          </w:p>
        </w:tc>
        <w:tc>
          <w:tcPr>
            <w:tcW w:w="150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362</w:t>
            </w:r>
          </w:p>
        </w:tc>
        <w:tc>
          <w:tcPr>
            <w:tcW w:w="1377"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977</w:t>
            </w:r>
          </w:p>
        </w:tc>
        <w:tc>
          <w:tcPr>
            <w:tcW w:w="1184" w:type="dxa"/>
            <w:tcBorders>
              <w:top w:val="single" w:sz="8" w:space="0" w:color="auto"/>
              <w:left w:val="nil"/>
              <w:bottom w:val="single" w:sz="8" w:space="0" w:color="auto"/>
              <w:right w:val="nil"/>
            </w:tcBorders>
            <w:shd w:val="clear" w:color="auto" w:fill="auto"/>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541</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2043</w:t>
            </w:r>
          </w:p>
        </w:tc>
        <w:tc>
          <w:tcPr>
            <w:tcW w:w="1184" w:type="dxa"/>
            <w:tcBorders>
              <w:top w:val="single" w:sz="8" w:space="0" w:color="auto"/>
              <w:left w:val="nil"/>
              <w:bottom w:val="single" w:sz="8" w:space="0" w:color="auto"/>
              <w:right w:val="single" w:sz="8" w:space="0" w:color="auto"/>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1593</w:t>
            </w:r>
          </w:p>
        </w:tc>
      </w:tr>
      <w:tr w:rsidR="00AB4942" w:rsidRPr="008D2996" w:rsidTr="00583537">
        <w:trPr>
          <w:trHeight w:val="390"/>
        </w:trPr>
        <w:tc>
          <w:tcPr>
            <w:tcW w:w="230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B4942" w:rsidRPr="008D2996" w:rsidRDefault="00E74A46" w:rsidP="00583537">
            <w:pPr>
              <w:rPr>
                <w:rFonts w:cs="Arial"/>
                <w:b/>
                <w:bCs/>
                <w:color w:val="000000"/>
                <w:sz w:val="20"/>
                <w:szCs w:val="20"/>
              </w:rPr>
            </w:pPr>
            <w:r w:rsidRPr="00E74A46">
              <w:rPr>
                <w:rFonts w:cs="Arial"/>
                <w:b/>
                <w:bCs/>
                <w:color w:val="000000"/>
                <w:sz w:val="20"/>
                <w:szCs w:val="20"/>
              </w:rPr>
              <w:t>Total 2010</w:t>
            </w:r>
          </w:p>
        </w:tc>
        <w:tc>
          <w:tcPr>
            <w:tcW w:w="0" w:type="auto"/>
            <w:tcBorders>
              <w:top w:val="single" w:sz="8"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344</w:t>
            </w:r>
          </w:p>
        </w:tc>
        <w:tc>
          <w:tcPr>
            <w:tcW w:w="0" w:type="auto"/>
            <w:tcBorders>
              <w:top w:val="single" w:sz="8"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636</w:t>
            </w:r>
          </w:p>
        </w:tc>
        <w:tc>
          <w:tcPr>
            <w:tcW w:w="0" w:type="auto"/>
            <w:tcBorders>
              <w:top w:val="single" w:sz="8"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1064</w:t>
            </w:r>
          </w:p>
        </w:tc>
        <w:tc>
          <w:tcPr>
            <w:tcW w:w="0" w:type="auto"/>
            <w:tcBorders>
              <w:top w:val="single" w:sz="8" w:space="0" w:color="auto"/>
              <w:left w:val="nil"/>
              <w:bottom w:val="single" w:sz="8" w:space="0" w:color="auto"/>
              <w:right w:val="nil"/>
            </w:tcBorders>
            <w:shd w:val="clear" w:color="auto" w:fill="auto"/>
            <w:noWrap/>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1024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3068</w:t>
            </w:r>
          </w:p>
        </w:tc>
        <w:tc>
          <w:tcPr>
            <w:tcW w:w="1184" w:type="dxa"/>
            <w:tcBorders>
              <w:top w:val="single" w:sz="8" w:space="0" w:color="auto"/>
              <w:left w:val="nil"/>
              <w:bottom w:val="single" w:sz="8" w:space="0" w:color="auto"/>
              <w:right w:val="single" w:sz="8" w:space="0" w:color="auto"/>
            </w:tcBorders>
            <w:shd w:val="clear" w:color="000000" w:fill="C0C0C0"/>
            <w:vAlign w:val="bottom"/>
            <w:hideMark/>
          </w:tcPr>
          <w:p w:rsidR="00AB4942" w:rsidRPr="008D2996" w:rsidRDefault="00E74A46" w:rsidP="00583537">
            <w:pPr>
              <w:jc w:val="center"/>
              <w:rPr>
                <w:rFonts w:cs="Arial"/>
                <w:color w:val="000000"/>
                <w:sz w:val="20"/>
                <w:szCs w:val="20"/>
              </w:rPr>
            </w:pPr>
            <w:r w:rsidRPr="00E74A46">
              <w:rPr>
                <w:rFonts w:cs="Arial"/>
                <w:color w:val="000000"/>
                <w:sz w:val="20"/>
                <w:szCs w:val="20"/>
              </w:rPr>
              <w:t> </w:t>
            </w:r>
          </w:p>
        </w:tc>
      </w:tr>
      <w:tr w:rsidR="00AB4942" w:rsidRPr="008D2996" w:rsidTr="00583537">
        <w:trPr>
          <w:trHeight w:val="390"/>
        </w:trPr>
        <w:tc>
          <w:tcPr>
            <w:tcW w:w="2308" w:type="dxa"/>
            <w:tcBorders>
              <w:top w:val="single" w:sz="8" w:space="0" w:color="auto"/>
              <w:left w:val="single" w:sz="8" w:space="0" w:color="auto"/>
              <w:bottom w:val="single" w:sz="8" w:space="0" w:color="auto"/>
              <w:right w:val="single" w:sz="4" w:space="0" w:color="auto"/>
            </w:tcBorders>
            <w:shd w:val="clear" w:color="000000" w:fill="C0C0C0"/>
            <w:vAlign w:val="bottom"/>
            <w:hideMark/>
          </w:tcPr>
          <w:p w:rsidR="00AB4942" w:rsidRPr="008D2996" w:rsidRDefault="00E74A46" w:rsidP="00583537">
            <w:pPr>
              <w:rPr>
                <w:rFonts w:cs="Arial"/>
                <w:b/>
                <w:bCs/>
                <w:color w:val="000000"/>
                <w:sz w:val="20"/>
                <w:szCs w:val="20"/>
              </w:rPr>
            </w:pPr>
            <w:r w:rsidRPr="00E74A46">
              <w:rPr>
                <w:rFonts w:cs="Arial"/>
                <w:b/>
                <w:bCs/>
                <w:color w:val="000000"/>
                <w:sz w:val="20"/>
                <w:szCs w:val="20"/>
              </w:rPr>
              <w:t>Total 2009</w:t>
            </w:r>
          </w:p>
        </w:tc>
        <w:tc>
          <w:tcPr>
            <w:tcW w:w="1395" w:type="dxa"/>
            <w:tcBorders>
              <w:top w:val="single" w:sz="8" w:space="0" w:color="auto"/>
              <w:left w:val="nil"/>
              <w:bottom w:val="single" w:sz="8" w:space="0" w:color="auto"/>
              <w:right w:val="nil"/>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254</w:t>
            </w:r>
          </w:p>
        </w:tc>
        <w:tc>
          <w:tcPr>
            <w:tcW w:w="1504" w:type="dxa"/>
            <w:tcBorders>
              <w:top w:val="single" w:sz="8" w:space="0" w:color="auto"/>
              <w:left w:val="nil"/>
              <w:bottom w:val="single" w:sz="8" w:space="0" w:color="auto"/>
              <w:right w:val="nil"/>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831</w:t>
            </w:r>
          </w:p>
        </w:tc>
        <w:tc>
          <w:tcPr>
            <w:tcW w:w="1377" w:type="dxa"/>
            <w:tcBorders>
              <w:top w:val="single" w:sz="8" w:space="0" w:color="auto"/>
              <w:left w:val="nil"/>
              <w:bottom w:val="single" w:sz="8" w:space="0" w:color="auto"/>
              <w:right w:val="nil"/>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919</w:t>
            </w:r>
          </w:p>
        </w:tc>
        <w:tc>
          <w:tcPr>
            <w:tcW w:w="1184" w:type="dxa"/>
            <w:tcBorders>
              <w:top w:val="single" w:sz="8" w:space="0" w:color="auto"/>
              <w:left w:val="nil"/>
              <w:bottom w:val="single" w:sz="8" w:space="0" w:color="auto"/>
              <w:right w:val="nil"/>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529</w:t>
            </w:r>
          </w:p>
        </w:tc>
        <w:tc>
          <w:tcPr>
            <w:tcW w:w="1184" w:type="dxa"/>
            <w:tcBorders>
              <w:top w:val="single" w:sz="8" w:space="0" w:color="auto"/>
              <w:left w:val="nil"/>
              <w:bottom w:val="single" w:sz="8" w:space="0" w:color="auto"/>
              <w:right w:val="nil"/>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 </w:t>
            </w:r>
          </w:p>
        </w:tc>
        <w:tc>
          <w:tcPr>
            <w:tcW w:w="1184" w:type="dxa"/>
            <w:tcBorders>
              <w:top w:val="single" w:sz="8" w:space="0" w:color="auto"/>
              <w:left w:val="single" w:sz="8" w:space="0" w:color="auto"/>
              <w:bottom w:val="single" w:sz="8" w:space="0" w:color="auto"/>
              <w:right w:val="single" w:sz="8" w:space="0" w:color="auto"/>
            </w:tcBorders>
            <w:shd w:val="clear" w:color="000000" w:fill="C0C0C0"/>
            <w:vAlign w:val="bottom"/>
            <w:hideMark/>
          </w:tcPr>
          <w:p w:rsidR="00AB4942" w:rsidRPr="008D2996" w:rsidRDefault="00E74A46" w:rsidP="00583537">
            <w:pPr>
              <w:jc w:val="center"/>
              <w:rPr>
                <w:rFonts w:cs="Arial"/>
                <w:b/>
                <w:bCs/>
                <w:color w:val="000000"/>
                <w:sz w:val="20"/>
                <w:szCs w:val="20"/>
              </w:rPr>
            </w:pPr>
            <w:r w:rsidRPr="00E74A46">
              <w:rPr>
                <w:rFonts w:cs="Arial"/>
                <w:b/>
                <w:bCs/>
                <w:color w:val="000000"/>
                <w:sz w:val="20"/>
                <w:szCs w:val="20"/>
              </w:rPr>
              <w:t>2533</w:t>
            </w:r>
          </w:p>
        </w:tc>
      </w:tr>
    </w:tbl>
    <w:p w:rsidR="00AB4942" w:rsidRPr="008D2996" w:rsidRDefault="00E74A46" w:rsidP="00AB4942">
      <w:pPr>
        <w:spacing w:after="0" w:line="240" w:lineRule="auto"/>
        <w:rPr>
          <w:b/>
          <w:bCs/>
          <w:sz w:val="16"/>
          <w:szCs w:val="16"/>
        </w:rPr>
      </w:pPr>
      <w:r w:rsidRPr="00E74A46">
        <w:rPr>
          <w:vertAlign w:val="superscript"/>
        </w:rPr>
        <w:t xml:space="preserve"> 1 </w:t>
      </w:r>
      <w:r w:rsidRPr="00E74A46">
        <w:rPr>
          <w:sz w:val="16"/>
          <w:szCs w:val="16"/>
        </w:rPr>
        <w:t>sans les données des sociétés suivantes : CIAR, GAM et  MAATEC</w:t>
      </w:r>
      <w:r w:rsidRPr="00E74A46">
        <w:rPr>
          <w:b/>
          <w:bCs/>
          <w:sz w:val="16"/>
          <w:szCs w:val="16"/>
        </w:rPr>
        <w:t>.</w:t>
      </w:r>
    </w:p>
    <w:p w:rsidR="00AB4942" w:rsidRPr="008D2996" w:rsidRDefault="00E74A46" w:rsidP="00AB4942">
      <w:pPr>
        <w:spacing w:after="60"/>
        <w:rPr>
          <w:b/>
          <w:bCs/>
          <w:sz w:val="16"/>
          <w:szCs w:val="16"/>
        </w:rPr>
      </w:pPr>
      <w:r>
        <w:rPr>
          <w:b/>
          <w:bCs/>
          <w:sz w:val="18"/>
          <w:szCs w:val="16"/>
          <w:vertAlign w:val="superscript"/>
        </w:rPr>
        <w:t>2</w:t>
      </w:r>
      <w:r w:rsidRPr="00E74A46">
        <w:rPr>
          <w:b/>
          <w:bCs/>
          <w:sz w:val="16"/>
          <w:szCs w:val="16"/>
        </w:rPr>
        <w:t xml:space="preserve"> </w:t>
      </w:r>
      <w:r w:rsidRPr="00E74A46">
        <w:rPr>
          <w:sz w:val="16"/>
          <w:szCs w:val="16"/>
        </w:rPr>
        <w:t>sans les données des sociétés suivantes : GAM, MAATEC</w:t>
      </w:r>
      <w:r w:rsidRPr="00E74A46">
        <w:rPr>
          <w:b/>
          <w:bCs/>
          <w:sz w:val="16"/>
          <w:szCs w:val="16"/>
        </w:rPr>
        <w:t>.</w:t>
      </w:r>
    </w:p>
    <w:p w:rsidR="00AB4942" w:rsidRPr="008D2996" w:rsidRDefault="00AB4942" w:rsidP="00AB4942">
      <w:pPr>
        <w:spacing w:after="60"/>
        <w:rPr>
          <w:b/>
          <w:bCs/>
          <w:sz w:val="16"/>
          <w:szCs w:val="16"/>
        </w:rPr>
      </w:pPr>
    </w:p>
    <w:p w:rsidR="00AB4942" w:rsidRPr="008D2996" w:rsidRDefault="00E74A46" w:rsidP="00995DC8">
      <w:pPr>
        <w:spacing w:before="120" w:after="60"/>
      </w:pPr>
      <w:r w:rsidRPr="00E74A46">
        <w:lastRenderedPageBreak/>
        <w:t>L’effectif total formé ou en formation en 2010 représente 26</w:t>
      </w:r>
      <w:r w:rsidR="00D170AD">
        <w:t>,2</w:t>
      </w:r>
      <w:r w:rsidRPr="00E74A46">
        <w:t>% de l’effectif salarié total. En 2009, ce ratio était de 2</w:t>
      </w:r>
      <w:r w:rsidR="00995DC8">
        <w:t>2</w:t>
      </w:r>
      <w:r w:rsidR="00D170AD">
        <w:t>,</w:t>
      </w:r>
      <w:r w:rsidR="00995DC8">
        <w:t>1</w:t>
      </w:r>
      <w:r w:rsidRPr="00E74A46">
        <w:t xml:space="preserve">%. </w:t>
      </w:r>
    </w:p>
    <w:p w:rsidR="00AB4942" w:rsidRPr="008D2996" w:rsidRDefault="00E74A46" w:rsidP="00AB4942">
      <w:pPr>
        <w:numPr>
          <w:ilvl w:val="0"/>
          <w:numId w:val="25"/>
        </w:numPr>
        <w:spacing w:after="60"/>
      </w:pPr>
      <w:r w:rsidRPr="00E74A46">
        <w:t>Les séminaires constituent le type de formation dont bénéficient  3</w:t>
      </w:r>
      <w:r w:rsidR="008A0B81">
        <w:t>3,4</w:t>
      </w:r>
      <w:r w:rsidRPr="00E74A46">
        <w:t>% de l’effectif formé ou en cours de formation en 2010 soit 1 024 dont 5</w:t>
      </w:r>
      <w:r w:rsidR="008A0B81">
        <w:t>2,8</w:t>
      </w:r>
      <w:r w:rsidRPr="00E74A46">
        <w:t>% sont des cadres et 47</w:t>
      </w:r>
      <w:r w:rsidR="008A0B81">
        <w:t>,2</w:t>
      </w:r>
      <w:r w:rsidRPr="00E74A46">
        <w:t xml:space="preserve">% des </w:t>
      </w:r>
      <w:r w:rsidR="008A0B81">
        <w:t>a</w:t>
      </w:r>
      <w:r w:rsidRPr="00E74A46">
        <w:t xml:space="preserve">gents de maitrise. </w:t>
      </w:r>
    </w:p>
    <w:p w:rsidR="00AB4942" w:rsidRPr="008D2996" w:rsidRDefault="00E74A46" w:rsidP="00AB4942">
      <w:pPr>
        <w:numPr>
          <w:ilvl w:val="0"/>
          <w:numId w:val="25"/>
        </w:numPr>
        <w:spacing w:after="60"/>
      </w:pPr>
      <w:r w:rsidRPr="00E74A46">
        <w:t>Les formations de cycle long représentent 11</w:t>
      </w:r>
      <w:r w:rsidR="008A0B81">
        <w:t>,2</w:t>
      </w:r>
      <w:r w:rsidRPr="00E74A46">
        <w:t>% des effectifs formés ou en formation soit 344 bénéficiaires.</w:t>
      </w:r>
    </w:p>
    <w:p w:rsidR="00AB4942" w:rsidRPr="008D2996" w:rsidRDefault="00E74A46" w:rsidP="00AB4942">
      <w:pPr>
        <w:numPr>
          <w:ilvl w:val="0"/>
          <w:numId w:val="25"/>
        </w:numPr>
        <w:spacing w:after="60"/>
      </w:pPr>
      <w:r w:rsidRPr="00E74A46">
        <w:t xml:space="preserve">Les formations en cycle court ont connu une baisse de </w:t>
      </w:r>
      <w:r w:rsidR="008A0B81">
        <w:t>23,5</w:t>
      </w:r>
      <w:r w:rsidRPr="00E74A46">
        <w:t>%.</w:t>
      </w:r>
    </w:p>
    <w:p w:rsidR="00AB4942" w:rsidRPr="008D2996" w:rsidRDefault="00E74A46" w:rsidP="00AB4942">
      <w:pPr>
        <w:numPr>
          <w:ilvl w:val="0"/>
          <w:numId w:val="25"/>
        </w:numPr>
      </w:pPr>
      <w:r w:rsidRPr="00E74A46">
        <w:t>L’effectif des bénéficiaires des stages est prédominé par les cadres qui représentent un taux de 9</w:t>
      </w:r>
      <w:r w:rsidR="008A0B81">
        <w:t>1,8</w:t>
      </w:r>
      <w:r w:rsidRPr="00E74A46">
        <w:t>%.</w:t>
      </w:r>
    </w:p>
    <w:p w:rsidR="00AB4942" w:rsidRPr="008D2996" w:rsidRDefault="00AB4942" w:rsidP="00AB4942">
      <w:pPr>
        <w:pStyle w:val="Titre3"/>
      </w:pPr>
    </w:p>
    <w:p w:rsidR="00AB4942" w:rsidRPr="008D2996" w:rsidRDefault="00E74A46" w:rsidP="00AB4942">
      <w:pPr>
        <w:pStyle w:val="Titre3"/>
      </w:pPr>
      <w:bookmarkStart w:id="570" w:name="_Toc326156027"/>
      <w:bookmarkStart w:id="571" w:name="_Toc327883461"/>
      <w:bookmarkStart w:id="572" w:name="_Toc327883641"/>
      <w:bookmarkStart w:id="573" w:name="_Toc327883987"/>
      <w:bookmarkStart w:id="574" w:name="_Toc327885054"/>
      <w:bookmarkStart w:id="575" w:name="_Toc327885639"/>
      <w:bookmarkStart w:id="576" w:name="_Toc327916566"/>
      <w:r w:rsidRPr="00E74A46">
        <w:t>Budgets de formation et ratios</w:t>
      </w:r>
      <w:bookmarkEnd w:id="570"/>
      <w:bookmarkEnd w:id="571"/>
      <w:bookmarkEnd w:id="572"/>
      <w:bookmarkEnd w:id="573"/>
      <w:bookmarkEnd w:id="574"/>
      <w:bookmarkEnd w:id="575"/>
      <w:bookmarkEnd w:id="576"/>
      <w:r w:rsidRPr="00E74A46">
        <w:t> </w:t>
      </w:r>
    </w:p>
    <w:p w:rsidR="00AB4942" w:rsidRPr="008D2996" w:rsidRDefault="00E74A46" w:rsidP="00AB4942">
      <w:r w:rsidRPr="00E74A46">
        <w:t>On constate une hausse  de 34</w:t>
      </w:r>
      <w:r w:rsidR="00484932">
        <w:t>,2</w:t>
      </w:r>
      <w:r w:rsidRPr="00E74A46">
        <w:t>%  de la dépense totale en formation, passant de 110 941 milliers de DA en 2009 à 148 906 milliers de DA en 2010.</w:t>
      </w:r>
    </w:p>
    <w:p w:rsidR="00AB4942" w:rsidRPr="008D2996" w:rsidRDefault="00E74A46" w:rsidP="00AB4942">
      <w:r w:rsidRPr="00E74A46">
        <w:t>L’évolution du coût moyen unitaire par type de formation entre 200</w:t>
      </w:r>
      <w:r w:rsidR="00484932">
        <w:t>6</w:t>
      </w:r>
      <w:r w:rsidRPr="00E74A46">
        <w:t xml:space="preserve"> et 2010 (dépenses de formation sur effectif formé) est illustrée par le tableau suivant :</w:t>
      </w:r>
    </w:p>
    <w:p w:rsidR="00AB4942" w:rsidRPr="008D2996" w:rsidRDefault="00AB4942" w:rsidP="00AB4942"/>
    <w:p w:rsidR="00AB4942" w:rsidRPr="008D2996" w:rsidRDefault="00AB4942" w:rsidP="00AB4942">
      <w:pPr>
        <w:spacing w:before="120" w:after="0" w:line="240" w:lineRule="auto"/>
        <w:jc w:val="center"/>
        <w:rPr>
          <w:b/>
          <w:bCs/>
        </w:rPr>
      </w:pPr>
    </w:p>
    <w:p w:rsidR="00AB4942" w:rsidRPr="008D2996" w:rsidRDefault="00E74A46" w:rsidP="00AB4942">
      <w:pPr>
        <w:spacing w:before="120" w:after="0" w:line="240" w:lineRule="auto"/>
        <w:jc w:val="center"/>
        <w:rPr>
          <w:b/>
          <w:bCs/>
        </w:rPr>
      </w:pPr>
      <w:r w:rsidRPr="00E74A46">
        <w:rPr>
          <w:b/>
          <w:bCs/>
        </w:rPr>
        <w:t>Tableau n°10.46 : Dépenses par type de formation</w:t>
      </w:r>
    </w:p>
    <w:p w:rsidR="00AB4942" w:rsidRPr="008D2996" w:rsidRDefault="00AB4942" w:rsidP="00AB4942">
      <w:pPr>
        <w:spacing w:before="120" w:after="0" w:line="240" w:lineRule="auto"/>
        <w:jc w:val="center"/>
        <w:rPr>
          <w:b/>
          <w:bCs/>
          <w:sz w:val="18"/>
          <w:szCs w:val="18"/>
        </w:rPr>
      </w:pPr>
    </w:p>
    <w:tbl>
      <w:tblPr>
        <w:tblW w:w="876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201"/>
        <w:gridCol w:w="1400"/>
        <w:gridCol w:w="1400"/>
        <w:gridCol w:w="1160"/>
        <w:gridCol w:w="1400"/>
        <w:gridCol w:w="1208"/>
      </w:tblGrid>
      <w:tr w:rsidR="00AB4942" w:rsidRPr="008D2996" w:rsidTr="00484932">
        <w:trPr>
          <w:trHeight w:val="510"/>
          <w:jc w:val="center"/>
        </w:trPr>
        <w:tc>
          <w:tcPr>
            <w:tcW w:w="2201" w:type="dxa"/>
            <w:vMerge w:val="restart"/>
            <w:vAlign w:val="center"/>
          </w:tcPr>
          <w:p w:rsidR="00AB4942" w:rsidRPr="008D2996" w:rsidRDefault="00E74A46" w:rsidP="00583537">
            <w:pPr>
              <w:spacing w:after="0" w:line="240" w:lineRule="auto"/>
              <w:jc w:val="center"/>
              <w:rPr>
                <w:color w:val="000000"/>
                <w:sz w:val="20"/>
                <w:szCs w:val="20"/>
              </w:rPr>
            </w:pPr>
            <w:r w:rsidRPr="00E74A46">
              <w:rPr>
                <w:color w:val="000000"/>
                <w:sz w:val="20"/>
                <w:szCs w:val="20"/>
              </w:rPr>
              <w:t>Type de formation</w:t>
            </w:r>
          </w:p>
        </w:tc>
        <w:tc>
          <w:tcPr>
            <w:tcW w:w="6568" w:type="dxa"/>
            <w:gridSpan w:val="5"/>
            <w:vAlign w:val="center"/>
          </w:tcPr>
          <w:p w:rsidR="00AB4942" w:rsidRPr="008D2996" w:rsidRDefault="00E74A46" w:rsidP="00583537">
            <w:pPr>
              <w:spacing w:after="0" w:line="240" w:lineRule="auto"/>
              <w:jc w:val="center"/>
              <w:rPr>
                <w:rFonts w:cs="Arial"/>
                <w:sz w:val="20"/>
                <w:szCs w:val="20"/>
              </w:rPr>
            </w:pPr>
            <w:r w:rsidRPr="00E74A46">
              <w:rPr>
                <w:color w:val="000000"/>
                <w:sz w:val="20"/>
                <w:szCs w:val="20"/>
              </w:rPr>
              <w:t>Coût unitaire moyen (en DA)</w:t>
            </w:r>
          </w:p>
        </w:tc>
      </w:tr>
      <w:tr w:rsidR="00484932" w:rsidRPr="008D2996" w:rsidTr="00484932">
        <w:trPr>
          <w:trHeight w:val="510"/>
          <w:jc w:val="center"/>
        </w:trPr>
        <w:tc>
          <w:tcPr>
            <w:tcW w:w="2201" w:type="dxa"/>
            <w:vMerge/>
            <w:vAlign w:val="center"/>
          </w:tcPr>
          <w:p w:rsidR="00484932" w:rsidRPr="008D2996" w:rsidRDefault="00484932" w:rsidP="00583537">
            <w:pPr>
              <w:keepNext/>
              <w:spacing w:before="240" w:after="0" w:line="240" w:lineRule="auto"/>
              <w:jc w:val="center"/>
              <w:outlineLvl w:val="0"/>
              <w:rPr>
                <w:color w:val="000000"/>
                <w:sz w:val="20"/>
                <w:szCs w:val="20"/>
              </w:rPr>
            </w:pPr>
          </w:p>
        </w:tc>
        <w:tc>
          <w:tcPr>
            <w:tcW w:w="1400" w:type="dxa"/>
            <w:vAlign w:val="center"/>
          </w:tcPr>
          <w:p w:rsidR="00484932" w:rsidRPr="008D2996" w:rsidRDefault="00484932" w:rsidP="00583537">
            <w:pPr>
              <w:spacing w:after="0" w:line="240" w:lineRule="auto"/>
              <w:jc w:val="center"/>
              <w:rPr>
                <w:b/>
                <w:bCs/>
                <w:i/>
                <w:iCs/>
                <w:color w:val="000000"/>
                <w:sz w:val="20"/>
                <w:szCs w:val="20"/>
              </w:rPr>
            </w:pPr>
            <w:r w:rsidRPr="00E74A46">
              <w:rPr>
                <w:b/>
                <w:bCs/>
                <w:i/>
                <w:iCs/>
                <w:color w:val="000000"/>
                <w:sz w:val="20"/>
                <w:szCs w:val="20"/>
              </w:rPr>
              <w:t>2006</w:t>
            </w:r>
          </w:p>
        </w:tc>
        <w:tc>
          <w:tcPr>
            <w:tcW w:w="1400" w:type="dxa"/>
            <w:vAlign w:val="center"/>
          </w:tcPr>
          <w:p w:rsidR="00484932" w:rsidRPr="008D2996" w:rsidRDefault="00484932" w:rsidP="00583537">
            <w:pPr>
              <w:spacing w:after="0" w:line="240" w:lineRule="auto"/>
              <w:jc w:val="center"/>
              <w:rPr>
                <w:b/>
                <w:bCs/>
                <w:i/>
                <w:iCs/>
                <w:color w:val="000000"/>
                <w:sz w:val="20"/>
                <w:szCs w:val="20"/>
              </w:rPr>
            </w:pPr>
            <w:r w:rsidRPr="00E74A46">
              <w:rPr>
                <w:b/>
                <w:bCs/>
                <w:i/>
                <w:iCs/>
                <w:color w:val="000000"/>
                <w:sz w:val="20"/>
                <w:szCs w:val="20"/>
              </w:rPr>
              <w:t>2007</w:t>
            </w:r>
          </w:p>
        </w:tc>
        <w:tc>
          <w:tcPr>
            <w:tcW w:w="1160" w:type="dxa"/>
            <w:vAlign w:val="center"/>
          </w:tcPr>
          <w:p w:rsidR="00484932" w:rsidRPr="008D2996" w:rsidRDefault="00484932" w:rsidP="00583537">
            <w:pPr>
              <w:spacing w:after="0" w:line="240" w:lineRule="auto"/>
              <w:jc w:val="center"/>
              <w:rPr>
                <w:b/>
                <w:bCs/>
                <w:i/>
                <w:iCs/>
                <w:color w:val="000000"/>
                <w:sz w:val="20"/>
                <w:szCs w:val="20"/>
              </w:rPr>
            </w:pPr>
            <w:r w:rsidRPr="00E74A46">
              <w:rPr>
                <w:b/>
                <w:bCs/>
                <w:i/>
                <w:iCs/>
                <w:color w:val="000000"/>
                <w:sz w:val="20"/>
                <w:szCs w:val="20"/>
              </w:rPr>
              <w:t>2008</w:t>
            </w:r>
          </w:p>
        </w:tc>
        <w:tc>
          <w:tcPr>
            <w:tcW w:w="1400" w:type="dxa"/>
            <w:vAlign w:val="center"/>
          </w:tcPr>
          <w:p w:rsidR="00484932" w:rsidRPr="008D2996" w:rsidRDefault="00484932" w:rsidP="00583537">
            <w:pPr>
              <w:spacing w:after="0" w:line="240" w:lineRule="auto"/>
              <w:jc w:val="center"/>
              <w:rPr>
                <w:b/>
                <w:bCs/>
                <w:i/>
                <w:iCs/>
                <w:color w:val="000000"/>
                <w:sz w:val="20"/>
                <w:szCs w:val="20"/>
              </w:rPr>
            </w:pPr>
            <w:r w:rsidRPr="00E74A46">
              <w:rPr>
                <w:b/>
                <w:bCs/>
                <w:i/>
                <w:iCs/>
                <w:color w:val="000000"/>
                <w:sz w:val="20"/>
                <w:szCs w:val="20"/>
              </w:rPr>
              <w:t>2009</w:t>
            </w:r>
          </w:p>
        </w:tc>
        <w:tc>
          <w:tcPr>
            <w:tcW w:w="1208" w:type="dxa"/>
            <w:vAlign w:val="center"/>
          </w:tcPr>
          <w:p w:rsidR="00484932" w:rsidRPr="008D2996" w:rsidRDefault="00484932" w:rsidP="00583537">
            <w:pPr>
              <w:spacing w:after="0" w:line="240" w:lineRule="auto"/>
              <w:jc w:val="center"/>
              <w:rPr>
                <w:b/>
                <w:bCs/>
                <w:i/>
                <w:iCs/>
                <w:color w:val="000000"/>
                <w:sz w:val="20"/>
                <w:szCs w:val="20"/>
              </w:rPr>
            </w:pPr>
            <w:r w:rsidRPr="00E74A46">
              <w:rPr>
                <w:b/>
                <w:bCs/>
                <w:i/>
                <w:iCs/>
                <w:color w:val="000000"/>
                <w:sz w:val="20"/>
                <w:szCs w:val="20"/>
              </w:rPr>
              <w:t>2010*</w:t>
            </w:r>
          </w:p>
        </w:tc>
      </w:tr>
      <w:tr w:rsidR="00484932" w:rsidRPr="008D2996" w:rsidTr="00484932">
        <w:trPr>
          <w:trHeight w:val="510"/>
          <w:jc w:val="center"/>
        </w:trPr>
        <w:tc>
          <w:tcPr>
            <w:tcW w:w="2201" w:type="dxa"/>
            <w:vAlign w:val="center"/>
          </w:tcPr>
          <w:p w:rsidR="00484932" w:rsidRPr="008D2996" w:rsidRDefault="00484932" w:rsidP="00583537">
            <w:pPr>
              <w:spacing w:after="0" w:line="240" w:lineRule="auto"/>
              <w:jc w:val="center"/>
              <w:rPr>
                <w:color w:val="000000"/>
                <w:sz w:val="20"/>
                <w:szCs w:val="20"/>
              </w:rPr>
            </w:pPr>
            <w:r w:rsidRPr="00E74A46">
              <w:rPr>
                <w:color w:val="000000"/>
                <w:sz w:val="20"/>
                <w:szCs w:val="20"/>
              </w:rPr>
              <w:t>Cycle long</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122 717</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250 935</w:t>
            </w:r>
          </w:p>
        </w:tc>
        <w:tc>
          <w:tcPr>
            <w:tcW w:w="1160" w:type="dxa"/>
            <w:vAlign w:val="center"/>
          </w:tcPr>
          <w:p w:rsidR="00484932" w:rsidRPr="008D2996" w:rsidRDefault="00484932" w:rsidP="00583537">
            <w:pPr>
              <w:jc w:val="center"/>
              <w:rPr>
                <w:rFonts w:cs="Arial"/>
                <w:i/>
                <w:iCs/>
                <w:color w:val="000000"/>
              </w:rPr>
            </w:pPr>
            <w:r w:rsidRPr="00E74A46">
              <w:rPr>
                <w:rFonts w:cs="Arial"/>
                <w:i/>
                <w:iCs/>
                <w:color w:val="000000"/>
              </w:rPr>
              <w:t>365 083</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115 374</w:t>
            </w:r>
          </w:p>
        </w:tc>
        <w:tc>
          <w:tcPr>
            <w:tcW w:w="1208" w:type="dxa"/>
            <w:vAlign w:val="center"/>
          </w:tcPr>
          <w:p w:rsidR="00484932" w:rsidRPr="008D2996" w:rsidRDefault="00484932" w:rsidP="00583537">
            <w:pPr>
              <w:jc w:val="center"/>
              <w:rPr>
                <w:rFonts w:cs="Arial"/>
                <w:i/>
                <w:iCs/>
                <w:color w:val="000000"/>
              </w:rPr>
            </w:pPr>
            <w:r w:rsidRPr="00E74A46">
              <w:rPr>
                <w:rFonts w:cs="Arial"/>
                <w:i/>
                <w:iCs/>
                <w:color w:val="000000"/>
              </w:rPr>
              <w:t>134 930</w:t>
            </w:r>
          </w:p>
        </w:tc>
      </w:tr>
      <w:tr w:rsidR="00484932" w:rsidRPr="008D2996" w:rsidTr="00484932">
        <w:trPr>
          <w:trHeight w:val="510"/>
          <w:jc w:val="center"/>
        </w:trPr>
        <w:tc>
          <w:tcPr>
            <w:tcW w:w="2201" w:type="dxa"/>
            <w:vAlign w:val="center"/>
          </w:tcPr>
          <w:p w:rsidR="00484932" w:rsidRPr="008D2996" w:rsidRDefault="00484932" w:rsidP="00583537">
            <w:pPr>
              <w:spacing w:after="0" w:line="240" w:lineRule="auto"/>
              <w:jc w:val="center"/>
              <w:rPr>
                <w:color w:val="000000"/>
                <w:sz w:val="20"/>
                <w:szCs w:val="20"/>
              </w:rPr>
            </w:pPr>
            <w:r w:rsidRPr="00E74A46">
              <w:rPr>
                <w:color w:val="000000"/>
                <w:sz w:val="20"/>
                <w:szCs w:val="20"/>
              </w:rPr>
              <w:t>Cycle court</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70 983</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101 614</w:t>
            </w:r>
          </w:p>
        </w:tc>
        <w:tc>
          <w:tcPr>
            <w:tcW w:w="1160" w:type="dxa"/>
            <w:vAlign w:val="center"/>
          </w:tcPr>
          <w:p w:rsidR="00484932" w:rsidRPr="008D2996" w:rsidRDefault="00484932" w:rsidP="00583537">
            <w:pPr>
              <w:jc w:val="center"/>
              <w:rPr>
                <w:rFonts w:cs="Arial"/>
                <w:i/>
                <w:iCs/>
                <w:color w:val="000000"/>
              </w:rPr>
            </w:pPr>
            <w:r w:rsidRPr="00E74A46">
              <w:rPr>
                <w:rFonts w:cs="Arial"/>
                <w:i/>
                <w:iCs/>
                <w:color w:val="000000"/>
              </w:rPr>
              <w:t>70 373</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54 501</w:t>
            </w:r>
          </w:p>
        </w:tc>
        <w:tc>
          <w:tcPr>
            <w:tcW w:w="1208" w:type="dxa"/>
            <w:vAlign w:val="center"/>
          </w:tcPr>
          <w:p w:rsidR="00484932" w:rsidRPr="008D2996" w:rsidRDefault="00484932" w:rsidP="00583537">
            <w:pPr>
              <w:jc w:val="center"/>
              <w:rPr>
                <w:rFonts w:cs="Arial"/>
                <w:i/>
                <w:iCs/>
                <w:color w:val="000000"/>
              </w:rPr>
            </w:pPr>
            <w:r w:rsidRPr="00E74A46">
              <w:rPr>
                <w:rFonts w:cs="Arial"/>
                <w:i/>
                <w:iCs/>
                <w:color w:val="000000"/>
              </w:rPr>
              <w:t>105 714</w:t>
            </w:r>
          </w:p>
        </w:tc>
      </w:tr>
      <w:tr w:rsidR="00484932" w:rsidRPr="008D2996" w:rsidTr="00484932">
        <w:trPr>
          <w:trHeight w:val="510"/>
          <w:jc w:val="center"/>
        </w:trPr>
        <w:tc>
          <w:tcPr>
            <w:tcW w:w="2201" w:type="dxa"/>
            <w:vAlign w:val="center"/>
          </w:tcPr>
          <w:p w:rsidR="00484932" w:rsidRPr="008D2996" w:rsidRDefault="00484932" w:rsidP="00583537">
            <w:pPr>
              <w:spacing w:after="0" w:line="240" w:lineRule="auto"/>
              <w:jc w:val="center"/>
              <w:rPr>
                <w:color w:val="000000"/>
                <w:sz w:val="20"/>
                <w:szCs w:val="20"/>
              </w:rPr>
            </w:pPr>
            <w:r w:rsidRPr="00E74A46">
              <w:rPr>
                <w:color w:val="000000"/>
                <w:sz w:val="20"/>
                <w:szCs w:val="20"/>
              </w:rPr>
              <w:t>Stage</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5 979</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16 646</w:t>
            </w:r>
          </w:p>
        </w:tc>
        <w:tc>
          <w:tcPr>
            <w:tcW w:w="1160" w:type="dxa"/>
            <w:vAlign w:val="center"/>
          </w:tcPr>
          <w:p w:rsidR="00484932" w:rsidRPr="008D2996" w:rsidRDefault="00484932" w:rsidP="00583537">
            <w:pPr>
              <w:jc w:val="center"/>
              <w:rPr>
                <w:rFonts w:cs="Arial"/>
                <w:i/>
                <w:iCs/>
                <w:color w:val="000000"/>
              </w:rPr>
            </w:pPr>
            <w:r w:rsidRPr="00E74A46">
              <w:rPr>
                <w:rFonts w:cs="Arial"/>
                <w:i/>
                <w:iCs/>
                <w:color w:val="000000"/>
              </w:rPr>
              <w:t>13 508</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10 576</w:t>
            </w:r>
          </w:p>
        </w:tc>
        <w:tc>
          <w:tcPr>
            <w:tcW w:w="1208" w:type="dxa"/>
            <w:vAlign w:val="center"/>
          </w:tcPr>
          <w:p w:rsidR="00484932" w:rsidRPr="008D2996" w:rsidRDefault="00484932" w:rsidP="00583537">
            <w:pPr>
              <w:jc w:val="center"/>
              <w:rPr>
                <w:rFonts w:cs="Arial"/>
                <w:i/>
                <w:iCs/>
                <w:color w:val="000000"/>
              </w:rPr>
            </w:pPr>
            <w:r w:rsidRPr="00E74A46">
              <w:rPr>
                <w:rFonts w:cs="Arial"/>
                <w:i/>
                <w:iCs/>
                <w:color w:val="000000"/>
              </w:rPr>
              <w:t>11 720</w:t>
            </w:r>
          </w:p>
        </w:tc>
      </w:tr>
      <w:tr w:rsidR="00484932" w:rsidRPr="008D2996" w:rsidTr="00484932">
        <w:trPr>
          <w:trHeight w:val="510"/>
          <w:jc w:val="center"/>
        </w:trPr>
        <w:tc>
          <w:tcPr>
            <w:tcW w:w="2201" w:type="dxa"/>
            <w:vAlign w:val="center"/>
          </w:tcPr>
          <w:p w:rsidR="00484932" w:rsidRPr="008D2996" w:rsidRDefault="00484932" w:rsidP="00583537">
            <w:pPr>
              <w:spacing w:after="0" w:line="240" w:lineRule="auto"/>
              <w:jc w:val="center"/>
              <w:rPr>
                <w:color w:val="000000"/>
                <w:sz w:val="20"/>
                <w:szCs w:val="20"/>
              </w:rPr>
            </w:pPr>
            <w:r w:rsidRPr="00E74A46">
              <w:rPr>
                <w:color w:val="000000"/>
                <w:sz w:val="20"/>
                <w:szCs w:val="20"/>
              </w:rPr>
              <w:t>Séminaire</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12 412</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17 146</w:t>
            </w:r>
          </w:p>
        </w:tc>
        <w:tc>
          <w:tcPr>
            <w:tcW w:w="1160" w:type="dxa"/>
            <w:vAlign w:val="center"/>
          </w:tcPr>
          <w:p w:rsidR="00484932" w:rsidRPr="008D2996" w:rsidRDefault="00484932" w:rsidP="00583537">
            <w:pPr>
              <w:jc w:val="center"/>
              <w:rPr>
                <w:rFonts w:cs="Arial"/>
                <w:i/>
                <w:iCs/>
                <w:color w:val="000000"/>
              </w:rPr>
            </w:pPr>
            <w:r w:rsidRPr="00E74A46">
              <w:rPr>
                <w:rFonts w:cs="Arial"/>
                <w:i/>
                <w:iCs/>
                <w:color w:val="000000"/>
              </w:rPr>
              <w:t>20 207</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35 208</w:t>
            </w:r>
          </w:p>
        </w:tc>
        <w:tc>
          <w:tcPr>
            <w:tcW w:w="1208" w:type="dxa"/>
            <w:vAlign w:val="center"/>
          </w:tcPr>
          <w:p w:rsidR="00484932" w:rsidRPr="008D2996" w:rsidRDefault="00484932" w:rsidP="00583537">
            <w:pPr>
              <w:jc w:val="center"/>
              <w:rPr>
                <w:rFonts w:cs="Arial"/>
                <w:i/>
                <w:iCs/>
                <w:color w:val="000000"/>
              </w:rPr>
            </w:pPr>
            <w:r w:rsidRPr="00E74A46">
              <w:rPr>
                <w:rFonts w:cs="Arial"/>
                <w:i/>
                <w:iCs/>
                <w:color w:val="000000"/>
              </w:rPr>
              <w:t>12 267</w:t>
            </w:r>
          </w:p>
        </w:tc>
      </w:tr>
      <w:tr w:rsidR="00484932" w:rsidRPr="008D2996" w:rsidTr="00484932">
        <w:trPr>
          <w:trHeight w:val="510"/>
          <w:jc w:val="center"/>
        </w:trPr>
        <w:tc>
          <w:tcPr>
            <w:tcW w:w="2201" w:type="dxa"/>
            <w:vAlign w:val="center"/>
          </w:tcPr>
          <w:p w:rsidR="00484932" w:rsidRPr="008D2996" w:rsidRDefault="00484932" w:rsidP="00583537">
            <w:pPr>
              <w:spacing w:after="0" w:line="240" w:lineRule="auto"/>
              <w:jc w:val="center"/>
              <w:rPr>
                <w:color w:val="000000"/>
                <w:sz w:val="20"/>
                <w:szCs w:val="20"/>
              </w:rPr>
            </w:pPr>
            <w:r w:rsidRPr="00E74A46">
              <w:rPr>
                <w:color w:val="000000"/>
                <w:sz w:val="20"/>
                <w:szCs w:val="20"/>
              </w:rPr>
              <w:t>Total</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38 348</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51 027</w:t>
            </w:r>
          </w:p>
        </w:tc>
        <w:tc>
          <w:tcPr>
            <w:tcW w:w="1160" w:type="dxa"/>
            <w:vAlign w:val="center"/>
          </w:tcPr>
          <w:p w:rsidR="00484932" w:rsidRPr="008D2996" w:rsidRDefault="00484932" w:rsidP="00583537">
            <w:pPr>
              <w:jc w:val="center"/>
              <w:rPr>
                <w:rFonts w:cs="Arial"/>
                <w:i/>
                <w:iCs/>
                <w:color w:val="000000"/>
              </w:rPr>
            </w:pPr>
            <w:r w:rsidRPr="00E74A46">
              <w:rPr>
                <w:rFonts w:cs="Arial"/>
                <w:i/>
                <w:iCs/>
                <w:color w:val="000000"/>
              </w:rPr>
              <w:t>54 216</w:t>
            </w:r>
          </w:p>
        </w:tc>
        <w:tc>
          <w:tcPr>
            <w:tcW w:w="1400" w:type="dxa"/>
            <w:vAlign w:val="center"/>
          </w:tcPr>
          <w:p w:rsidR="00484932" w:rsidRPr="008D2996" w:rsidRDefault="00484932" w:rsidP="00583537">
            <w:pPr>
              <w:jc w:val="center"/>
              <w:rPr>
                <w:rFonts w:cs="Arial"/>
                <w:i/>
                <w:iCs/>
                <w:color w:val="000000"/>
              </w:rPr>
            </w:pPr>
            <w:r w:rsidRPr="00E74A46">
              <w:rPr>
                <w:rFonts w:cs="Arial"/>
                <w:i/>
                <w:iCs/>
                <w:color w:val="000000"/>
              </w:rPr>
              <w:t>40 639</w:t>
            </w:r>
          </w:p>
        </w:tc>
        <w:tc>
          <w:tcPr>
            <w:tcW w:w="1208" w:type="dxa"/>
            <w:vAlign w:val="center"/>
          </w:tcPr>
          <w:p w:rsidR="00484932" w:rsidRPr="008D2996" w:rsidRDefault="00484932" w:rsidP="00583537">
            <w:pPr>
              <w:jc w:val="center"/>
              <w:rPr>
                <w:rFonts w:cs="Arial"/>
                <w:i/>
                <w:iCs/>
                <w:color w:val="000000"/>
              </w:rPr>
            </w:pPr>
            <w:r w:rsidRPr="00E74A46">
              <w:rPr>
                <w:rFonts w:cs="Arial"/>
                <w:i/>
                <w:iCs/>
                <w:color w:val="000000"/>
              </w:rPr>
              <w:t>45 203</w:t>
            </w:r>
          </w:p>
        </w:tc>
      </w:tr>
    </w:tbl>
    <w:p w:rsidR="00AB4942" w:rsidRPr="008D2996" w:rsidRDefault="00E74A46" w:rsidP="00AB4942">
      <w:pPr>
        <w:spacing w:before="120" w:after="0" w:line="240" w:lineRule="auto"/>
        <w:rPr>
          <w:b/>
          <w:bCs/>
          <w:sz w:val="18"/>
          <w:szCs w:val="18"/>
        </w:rPr>
      </w:pPr>
      <w:r w:rsidRPr="00E74A46">
        <w:rPr>
          <w:b/>
          <w:bCs/>
          <w:sz w:val="18"/>
          <w:szCs w:val="18"/>
        </w:rPr>
        <w:t>*sans les données de la GAM et la MAATEC.</w:t>
      </w:r>
    </w:p>
    <w:p w:rsidR="00AB4942" w:rsidRPr="008D2996" w:rsidRDefault="00AB494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123852" w:rsidRPr="008D2996" w:rsidRDefault="00123852" w:rsidP="00AB4942">
      <w:pPr>
        <w:spacing w:before="120" w:after="0" w:line="240" w:lineRule="auto"/>
        <w:jc w:val="center"/>
        <w:rPr>
          <w:b/>
          <w:bCs/>
          <w:sz w:val="18"/>
          <w:szCs w:val="18"/>
          <w:highlight w:val="yellow"/>
        </w:rPr>
      </w:pPr>
    </w:p>
    <w:p w:rsidR="00E47D96" w:rsidRPr="008D2996" w:rsidRDefault="00E74A46" w:rsidP="004A104F">
      <w:pPr>
        <w:pStyle w:val="Titre1"/>
        <w:rPr>
          <w:color w:val="000000"/>
        </w:rPr>
      </w:pPr>
      <w:bookmarkStart w:id="577" w:name="_Toc326156028"/>
      <w:bookmarkStart w:id="578" w:name="_Toc327883462"/>
      <w:bookmarkStart w:id="579" w:name="_Toc327916567"/>
      <w:r w:rsidRPr="00E74A46">
        <w:rPr>
          <w:color w:val="000000"/>
        </w:rPr>
        <w:lastRenderedPageBreak/>
        <w:t>resultats</w:t>
      </w:r>
      <w:bookmarkEnd w:id="577"/>
      <w:bookmarkEnd w:id="578"/>
      <w:bookmarkEnd w:id="579"/>
    </w:p>
    <w:p w:rsidR="00E47D96" w:rsidRPr="008D2996" w:rsidRDefault="00E74A46" w:rsidP="004A104F">
      <w:pPr>
        <w:pStyle w:val="Titre2"/>
        <w:spacing w:before="120"/>
        <w:rPr>
          <w:color w:val="000000"/>
        </w:rPr>
      </w:pPr>
      <w:bookmarkStart w:id="580" w:name="_Toc326156029"/>
      <w:bookmarkStart w:id="581" w:name="_Toc327883463"/>
      <w:bookmarkStart w:id="582" w:name="_Toc327883643"/>
      <w:bookmarkStart w:id="583" w:name="_Toc327883989"/>
      <w:bookmarkStart w:id="584" w:name="_Toc327885056"/>
      <w:bookmarkStart w:id="585" w:name="_Toc327885641"/>
      <w:bookmarkStart w:id="586" w:name="_Toc327916568"/>
      <w:r w:rsidRPr="00E74A46">
        <w:rPr>
          <w:color w:val="000000"/>
        </w:rPr>
        <w:t>ratios techniques</w:t>
      </w:r>
      <w:bookmarkEnd w:id="580"/>
      <w:bookmarkEnd w:id="581"/>
      <w:bookmarkEnd w:id="582"/>
      <w:bookmarkEnd w:id="583"/>
      <w:bookmarkEnd w:id="584"/>
      <w:bookmarkEnd w:id="585"/>
      <w:bookmarkEnd w:id="586"/>
    </w:p>
    <w:bookmarkEnd w:id="512"/>
    <w:bookmarkEnd w:id="513"/>
    <w:bookmarkEnd w:id="514"/>
    <w:bookmarkEnd w:id="515"/>
    <w:bookmarkEnd w:id="516"/>
    <w:bookmarkEnd w:id="517"/>
    <w:bookmarkEnd w:id="518"/>
    <w:bookmarkEnd w:id="519"/>
    <w:bookmarkEnd w:id="520"/>
    <w:p w:rsidR="003454B6" w:rsidRPr="008D2996" w:rsidRDefault="00E74A46">
      <w:pPr>
        <w:spacing w:after="60"/>
      </w:pPr>
      <w:r w:rsidRPr="00E74A46">
        <w:t xml:space="preserve">En moyenne, la production d’assurance en 2010 représente </w:t>
      </w:r>
      <w:r w:rsidR="00007DA9">
        <w:t>86</w:t>
      </w:r>
      <w:r w:rsidRPr="00E74A46">
        <w:t>%  des ressources des sociétés. La plupart des sociétés ont des valeurs plus élevées sur ce ratio dépassant les 90% à l’exception des cas suivants :</w:t>
      </w:r>
    </w:p>
    <w:p w:rsidR="00E47D96" w:rsidRPr="008D2996" w:rsidRDefault="00E74A46" w:rsidP="007C6E15">
      <w:pPr>
        <w:numPr>
          <w:ilvl w:val="0"/>
          <w:numId w:val="10"/>
        </w:numPr>
        <w:spacing w:after="60"/>
      </w:pPr>
      <w:smartTag w:uri="urn:schemas-microsoft-com:office:smarttags" w:element="PersonName">
        <w:smartTagPr>
          <w:attr w:name="ProductID" w:val="La CAGEX"/>
        </w:smartTagPr>
        <w:r w:rsidRPr="00E74A46">
          <w:t>La CAGEX</w:t>
        </w:r>
      </w:smartTag>
      <w:r w:rsidRPr="00E74A46">
        <w:t xml:space="preserve"> dont l’activité d’assurance commerciale est fortement limitée par la situation de notre commerce extérieur et dont la garantie sur les risques politiques est enregistrée comme prestation réalisée pour le compte de l’Etat (autres produits). Il faut signaler que ce ratio a marqué une forte hausse (80,6% contre 77,5% en 2009) grâce à la commercialisation </w:t>
      </w:r>
    </w:p>
    <w:p w:rsidR="00E47D96" w:rsidRPr="008D2996" w:rsidRDefault="00E74A46" w:rsidP="00A02B4B">
      <w:pPr>
        <w:numPr>
          <w:ilvl w:val="0"/>
          <w:numId w:val="10"/>
        </w:numPr>
        <w:spacing w:after="60"/>
      </w:pPr>
      <w:r w:rsidRPr="00E74A46">
        <w:t>La SGCI dont le ratio est passé à 68,3% contre 74,5% en 2009 du fait de la baisse de sa production en 2010.</w:t>
      </w:r>
    </w:p>
    <w:p w:rsidR="00E47D96" w:rsidRPr="008D2996" w:rsidRDefault="00E74A46" w:rsidP="00A02B4B">
      <w:pPr>
        <w:spacing w:before="100" w:beforeAutospacing="1" w:after="100" w:afterAutospacing="1"/>
      </w:pPr>
      <w:r w:rsidRPr="00E74A46">
        <w:t xml:space="preserve">La marge brute d’assurance a enregistré une hausse plus rapide que celle marquée par le chiffre d’affaires des sociétés d’assurance. En effet, la marge brute réalisée par le secteur des assurances en 2010 est de </w:t>
      </w:r>
      <w:r w:rsidR="000D745D">
        <w:t>30</w:t>
      </w:r>
      <w:r w:rsidR="00007DA9">
        <w:t>,</w:t>
      </w:r>
      <w:r w:rsidR="000D745D">
        <w:t>3</w:t>
      </w:r>
      <w:r w:rsidR="000D745D" w:rsidRPr="00E74A46">
        <w:t xml:space="preserve"> </w:t>
      </w:r>
      <w:r w:rsidR="009135A6">
        <w:t>milliard</w:t>
      </w:r>
      <w:r w:rsidRPr="00E74A46">
        <w:t xml:space="preserve"> de dinars contre </w:t>
      </w:r>
      <w:r w:rsidR="000D745D" w:rsidRPr="00E74A46">
        <w:t>2</w:t>
      </w:r>
      <w:r w:rsidR="000D745D">
        <w:t>2,9</w:t>
      </w:r>
      <w:r w:rsidR="000D745D" w:rsidRPr="00E74A46">
        <w:t> </w:t>
      </w:r>
      <w:r w:rsidR="009135A6">
        <w:t>milliard</w:t>
      </w:r>
      <w:r w:rsidRPr="00E74A46">
        <w:t xml:space="preserve"> de dinars en 2009. </w:t>
      </w:r>
    </w:p>
    <w:p w:rsidR="00E47D96" w:rsidRPr="008D2996" w:rsidRDefault="00E74A46" w:rsidP="007A1356">
      <w:pPr>
        <w:spacing w:after="60" w:line="240" w:lineRule="auto"/>
        <w:rPr>
          <w:color w:val="0000FF"/>
        </w:rPr>
      </w:pPr>
      <w:r w:rsidRPr="00E74A46">
        <w:t xml:space="preserve">De ce fait, la valeur moyenne du ratio marge d’assurance rapportée à la production d’assurance </w:t>
      </w:r>
      <w:r w:rsidRPr="006C041C">
        <w:t>(qui permet de mesurer le poids des ressources d’assurance nettes des sinistres payés et conservés au sein de la compagnie)</w:t>
      </w:r>
      <w:r w:rsidRPr="00E74A46">
        <w:t xml:space="preserve"> a marqué une hausse en 2010 passant de 29,3% en 2009 à 37,1%. CARDIF réalise une valeur élevée sur ce ratio de 7</w:t>
      </w:r>
      <w:r w:rsidR="000D745D">
        <w:t>8,8</w:t>
      </w:r>
      <w:r w:rsidRPr="00E74A46">
        <w:t>%</w:t>
      </w:r>
      <w:r w:rsidRPr="00E74A46">
        <w:rPr>
          <w:color w:val="0000FF"/>
        </w:rPr>
        <w:t xml:space="preserve"> </w:t>
      </w:r>
      <w:r w:rsidRPr="00E74A46">
        <w:rPr>
          <w:color w:val="0000FF"/>
          <w:sz w:val="20"/>
          <w:szCs w:val="20"/>
        </w:rPr>
        <w:t>(tableau n°10.47)</w:t>
      </w:r>
      <w:r w:rsidRPr="00E74A46">
        <w:rPr>
          <w:color w:val="0000FF"/>
        </w:rPr>
        <w:t>.</w:t>
      </w:r>
    </w:p>
    <w:p w:rsidR="00E47D96" w:rsidRPr="008D2996" w:rsidRDefault="00E74A46" w:rsidP="009607B6">
      <w:pPr>
        <w:pStyle w:val="Titre2"/>
        <w:spacing w:after="0"/>
      </w:pPr>
      <w:bookmarkStart w:id="587" w:name="_Toc71847760"/>
      <w:bookmarkStart w:id="588" w:name="_Toc71851614"/>
      <w:bookmarkStart w:id="589" w:name="_Toc71851731"/>
      <w:bookmarkStart w:id="590" w:name="_Toc74152934"/>
      <w:bookmarkStart w:id="591" w:name="_Toc74180157"/>
      <w:bookmarkStart w:id="592" w:name="_Toc74181255"/>
      <w:bookmarkStart w:id="593" w:name="_Toc74181818"/>
      <w:bookmarkStart w:id="594" w:name="_Toc74182210"/>
      <w:bookmarkStart w:id="595" w:name="_Toc74183926"/>
      <w:bookmarkStart w:id="596" w:name="_Toc74188961"/>
      <w:bookmarkStart w:id="597" w:name="_Toc74189065"/>
      <w:bookmarkStart w:id="598" w:name="_Toc74189245"/>
      <w:bookmarkStart w:id="599" w:name="_Toc74189364"/>
      <w:bookmarkStart w:id="600" w:name="_Toc74189561"/>
      <w:bookmarkStart w:id="601" w:name="_Toc177110715"/>
      <w:bookmarkStart w:id="602" w:name="_Toc326156030"/>
      <w:bookmarkStart w:id="603" w:name="_Toc327883464"/>
      <w:bookmarkStart w:id="604" w:name="_Toc327883644"/>
      <w:bookmarkStart w:id="605" w:name="_Toc327883990"/>
      <w:bookmarkStart w:id="606" w:name="_Toc327885057"/>
      <w:bookmarkStart w:id="607" w:name="_Toc327885642"/>
      <w:bookmarkStart w:id="608" w:name="_Toc327916569"/>
      <w:r w:rsidRPr="00E74A46">
        <w:t>Ratios financiers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E47D96" w:rsidRPr="008D2996" w:rsidRDefault="00E74A46" w:rsidP="007A1356">
      <w:pPr>
        <w:spacing w:before="120" w:after="100" w:afterAutospacing="1"/>
      </w:pPr>
      <w:r w:rsidRPr="00E74A46">
        <w:t>Le résultat global (après impôts) réalisé par le secteur des assurances passe de 6</w:t>
      </w:r>
      <w:r w:rsidR="007A1356">
        <w:t>,3</w:t>
      </w:r>
      <w:r w:rsidRPr="00E74A46">
        <w:t xml:space="preserve"> mi</w:t>
      </w:r>
      <w:r w:rsidR="007A1356">
        <w:t>lliard de dinars en 2009 à 10,</w:t>
      </w:r>
      <w:r w:rsidR="00672664">
        <w:t>7</w:t>
      </w:r>
      <w:r w:rsidRPr="00E74A46">
        <w:t xml:space="preserve"> milli</w:t>
      </w:r>
      <w:r w:rsidR="007A1356">
        <w:t>ard</w:t>
      </w:r>
      <w:r w:rsidRPr="00E74A46">
        <w:t xml:space="preserve"> en 2010 soit une hausse de 7</w:t>
      </w:r>
      <w:r w:rsidR="00672664">
        <w:t>1</w:t>
      </w:r>
      <w:r w:rsidR="000D745D">
        <w:t>,</w:t>
      </w:r>
      <w:r w:rsidR="00672664">
        <w:t>4</w:t>
      </w:r>
      <w:r w:rsidRPr="00E74A46">
        <w:t>%. Cette année, une seule société a enregistré un résultat négatif (la SGCI avec -10 millions de dinars).</w:t>
      </w:r>
    </w:p>
    <w:p w:rsidR="00E7038B" w:rsidRPr="008D2996" w:rsidRDefault="00E74A46" w:rsidP="007A1356">
      <w:pPr>
        <w:spacing w:before="100" w:beforeAutospacing="1" w:after="100" w:afterAutospacing="1"/>
      </w:pPr>
      <w:r w:rsidRPr="00E74A46">
        <w:t>Cette hausse du résultat global a eu un effet sur la rentabilité financière moyenne qui a augmenté entre 2010 et 2009 et cela quel que soit l’indicateur de résultat pris en référence</w:t>
      </w:r>
      <w:r w:rsidRPr="00E74A46">
        <w:rPr>
          <w:color w:val="0000FF"/>
          <w:sz w:val="20"/>
          <w:szCs w:val="20"/>
        </w:rPr>
        <w:t xml:space="preserve"> (tableaux n°10.47 et n°10.47bis)</w:t>
      </w:r>
      <w:r w:rsidRPr="00E74A46">
        <w:rPr>
          <w:color w:val="000000"/>
        </w:rPr>
        <w:t>.</w:t>
      </w:r>
      <w:r w:rsidRPr="00E74A46">
        <w:t xml:space="preserve"> </w:t>
      </w:r>
    </w:p>
    <w:p w:rsidR="009E4339" w:rsidRPr="001F0C45" w:rsidRDefault="00E74A46">
      <w:r w:rsidRPr="001F0C45">
        <w:t xml:space="preserve">Par forme institutionnelle, la rentabilité des entreprises publiques générales se situe à 10,6% au dessous de celle des entreprises privées qui réalisent un taux de rentabilité de 20% en 2010. </w:t>
      </w:r>
    </w:p>
    <w:p w:rsidR="004D28A3" w:rsidRPr="001F0C45" w:rsidRDefault="004D28A3" w:rsidP="009607B6"/>
    <w:p w:rsidR="003C068E" w:rsidRPr="008D2996" w:rsidRDefault="003C068E" w:rsidP="009607B6">
      <w:pPr>
        <w:sectPr w:rsidR="003C068E" w:rsidRPr="008D2996" w:rsidSect="00897A9E">
          <w:footnotePr>
            <w:numRestart w:val="eachPage"/>
          </w:footnotePr>
          <w:type w:val="nextColumn"/>
          <w:pgSz w:w="11906" w:h="16838" w:code="9"/>
          <w:pgMar w:top="1871" w:right="1134" w:bottom="1304" w:left="1134" w:header="709" w:footer="709" w:gutter="0"/>
          <w:cols w:space="708"/>
          <w:docGrid w:linePitch="360"/>
        </w:sectPr>
      </w:pPr>
    </w:p>
    <w:p w:rsidR="003A6049" w:rsidRDefault="00E10333">
      <w:pPr>
        <w:ind w:left="-709"/>
        <w:jc w:val="left"/>
        <w:rPr>
          <w:highlight w:val="yellow"/>
        </w:rPr>
      </w:pPr>
      <w:r w:rsidRPr="00E10333">
        <w:rPr>
          <w:noProof/>
        </w:rPr>
        <w:lastRenderedPageBreak/>
        <w:drawing>
          <wp:inline distT="0" distB="0" distL="0" distR="0">
            <wp:extent cx="9065953" cy="5543550"/>
            <wp:effectExtent l="19050" t="0" r="1847"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9065413" cy="5543220"/>
                    </a:xfrm>
                    <a:prstGeom prst="rect">
                      <a:avLst/>
                    </a:prstGeom>
                    <a:noFill/>
                    <a:ln w="9525">
                      <a:noFill/>
                      <a:miter lim="800000"/>
                      <a:headEnd/>
                      <a:tailEnd/>
                    </a:ln>
                  </pic:spPr>
                </pic:pic>
              </a:graphicData>
            </a:graphic>
          </wp:inline>
        </w:drawing>
      </w:r>
      <w:r w:rsidR="00E74A46" w:rsidRPr="00E74A46">
        <w:rPr>
          <w:highlight w:val="yellow"/>
        </w:rPr>
        <w:t xml:space="preserve"> </w:t>
      </w:r>
      <w:r w:rsidR="002F45DF" w:rsidRPr="002F45DF">
        <w:rPr>
          <w:noProof/>
        </w:rPr>
        <w:lastRenderedPageBreak/>
        <w:drawing>
          <wp:inline distT="0" distB="0" distL="0" distR="0">
            <wp:extent cx="8676005" cy="4738267"/>
            <wp:effectExtent l="19050" t="0" r="0" b="0"/>
            <wp:docPr id="2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8676005" cy="4738267"/>
                    </a:xfrm>
                    <a:prstGeom prst="rect">
                      <a:avLst/>
                    </a:prstGeom>
                    <a:noFill/>
                    <a:ln w="9525">
                      <a:noFill/>
                      <a:miter lim="800000"/>
                      <a:headEnd/>
                      <a:tailEnd/>
                    </a:ln>
                  </pic:spPr>
                </pic:pic>
              </a:graphicData>
            </a:graphic>
          </wp:inline>
        </w:drawing>
      </w:r>
      <w:r w:rsidR="00E74A46" w:rsidRPr="00E74A46">
        <w:rPr>
          <w:highlight w:val="yellow"/>
        </w:rPr>
        <w:t xml:space="preserve"> </w:t>
      </w:r>
    </w:p>
    <w:p w:rsidR="00E47D96" w:rsidRPr="008D2996" w:rsidRDefault="00E47D96" w:rsidP="00AC2D65">
      <w:pPr>
        <w:rPr>
          <w:highlight w:val="yellow"/>
        </w:rPr>
        <w:sectPr w:rsidR="00E47D96" w:rsidRPr="008D2996" w:rsidSect="00CC1DE1">
          <w:footnotePr>
            <w:numRestart w:val="eachPage"/>
          </w:footnotePr>
          <w:pgSz w:w="16838" w:h="11906" w:orient="landscape" w:code="9"/>
          <w:pgMar w:top="1134" w:right="1304" w:bottom="1134" w:left="1871" w:header="709" w:footer="709" w:gutter="0"/>
          <w:cols w:space="708"/>
          <w:docGrid w:linePitch="360"/>
        </w:sect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484932" w:rsidRDefault="00484932" w:rsidP="00097561">
      <w:pPr>
        <w:ind w:left="284"/>
        <w:jc w:val="center"/>
        <w:rPr>
          <w:b/>
          <w:bCs/>
          <w:caps/>
          <w:sz w:val="28"/>
          <w:szCs w:val="28"/>
        </w:rPr>
      </w:pPr>
    </w:p>
    <w:p w:rsidR="00097561" w:rsidRPr="00484932" w:rsidRDefault="005D6003" w:rsidP="0060275F">
      <w:pPr>
        <w:pStyle w:val="Titre1"/>
        <w:jc w:val="center"/>
        <w:rPr>
          <w:sz w:val="44"/>
        </w:rPr>
      </w:pPr>
      <w:bookmarkStart w:id="609" w:name="_Toc327916570"/>
      <w:r>
        <w:rPr>
          <w:b w:val="0"/>
          <w:bCs w:val="0"/>
          <w:caps w:val="0"/>
          <w:sz w:val="44"/>
        </w:rPr>
        <w:t>7</w:t>
      </w:r>
      <w:r w:rsidR="00E45768" w:rsidRPr="00E45768">
        <w:rPr>
          <w:sz w:val="44"/>
        </w:rPr>
        <w:t xml:space="preserve">° </w:t>
      </w:r>
      <w:r w:rsidR="00E45768" w:rsidRPr="00E45768">
        <w:rPr>
          <w:noProof/>
          <w:sz w:val="44"/>
        </w:rPr>
        <w:t>Chapitre </w:t>
      </w:r>
      <w:r w:rsidR="00E45768" w:rsidRPr="00E45768">
        <w:rPr>
          <w:sz w:val="44"/>
        </w:rPr>
        <w:t>: production 2011</w:t>
      </w:r>
      <w:bookmarkEnd w:id="609"/>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rsidP="005A005E">
      <w:pPr>
        <w:pStyle w:val="Titre1"/>
        <w:rPr>
          <w:color w:val="000000"/>
        </w:rPr>
      </w:pPr>
    </w:p>
    <w:p w:rsidR="00484932" w:rsidRDefault="00484932">
      <w:pPr>
        <w:spacing w:after="0" w:line="240" w:lineRule="auto"/>
        <w:jc w:val="left"/>
        <w:rPr>
          <w:b/>
          <w:bCs/>
          <w:caps/>
          <w:color w:val="000000"/>
          <w:kern w:val="28"/>
          <w:sz w:val="28"/>
          <w:szCs w:val="28"/>
        </w:rPr>
      </w:pPr>
      <w:r>
        <w:rPr>
          <w:color w:val="000000"/>
        </w:rPr>
        <w:br w:type="page"/>
      </w:r>
    </w:p>
    <w:p w:rsidR="005A005E" w:rsidRPr="008D2996" w:rsidRDefault="00E74A46" w:rsidP="005A005E">
      <w:pPr>
        <w:pStyle w:val="Titre1"/>
      </w:pPr>
      <w:bookmarkStart w:id="610" w:name="_Toc326156031"/>
      <w:bookmarkStart w:id="611" w:name="_Toc327883465"/>
      <w:bookmarkStart w:id="612" w:name="_Toc327916571"/>
      <w:r w:rsidRPr="00E74A46">
        <w:lastRenderedPageBreak/>
        <w:t>Evolution et structure de la production</w:t>
      </w:r>
      <w:bookmarkEnd w:id="610"/>
      <w:bookmarkEnd w:id="611"/>
      <w:bookmarkEnd w:id="612"/>
    </w:p>
    <w:p w:rsidR="005A005E" w:rsidRPr="008D2996" w:rsidRDefault="00E74A46" w:rsidP="005A005E">
      <w:pPr>
        <w:spacing w:before="120" w:line="288" w:lineRule="auto"/>
        <w:rPr>
          <w:color w:val="0000FF"/>
        </w:rPr>
      </w:pPr>
      <w:r w:rsidRPr="00E74A46">
        <w:t>La production d’assurance aurait atteint 8</w:t>
      </w:r>
      <w:r w:rsidR="00795B2A">
        <w:t>6</w:t>
      </w:r>
      <w:r w:rsidRPr="00E74A46">
        <w:t>,</w:t>
      </w:r>
      <w:r w:rsidR="00795B2A">
        <w:t xml:space="preserve">5 </w:t>
      </w:r>
      <w:r w:rsidR="009135A6">
        <w:t>milliard</w:t>
      </w:r>
      <w:r w:rsidRPr="00E74A46">
        <w:t xml:space="preserve"> de dinars en 2011 (hors acceptations internationales de la CCR) soit une croissance de 6,</w:t>
      </w:r>
      <w:r w:rsidR="00795B2A">
        <w:t>7</w:t>
      </w:r>
      <w:r w:rsidRPr="00E74A46">
        <w:t xml:space="preserve">% par rapport à l'exercice 2010. </w:t>
      </w:r>
      <w:r w:rsidRPr="00E74A46">
        <w:rPr>
          <w:color w:val="0000FF"/>
        </w:rPr>
        <w:t>(</w:t>
      </w:r>
      <w:r w:rsidRPr="00E74A46">
        <w:rPr>
          <w:color w:val="0000FF"/>
          <w:sz w:val="20"/>
          <w:szCs w:val="20"/>
        </w:rPr>
        <w:t>Voir tableau n° 11.01</w:t>
      </w:r>
      <w:r w:rsidRPr="00E74A46">
        <w:rPr>
          <w:color w:val="0000FF"/>
        </w:rPr>
        <w:t xml:space="preserve">) </w:t>
      </w:r>
    </w:p>
    <w:p w:rsidR="005A005E" w:rsidRPr="008D2996" w:rsidRDefault="00E74A46" w:rsidP="005A005E">
      <w:pPr>
        <w:spacing w:before="120" w:line="288" w:lineRule="auto"/>
        <w:rPr>
          <w:rFonts w:cs="Arial"/>
        </w:rPr>
      </w:pPr>
      <w:r w:rsidRPr="00E74A46">
        <w:rPr>
          <w:rFonts w:cs="Arial"/>
        </w:rPr>
        <w:t>Comparativement à l’année 2010, ce sont les branches « </w:t>
      </w:r>
      <w:r w:rsidR="007F2527">
        <w:rPr>
          <w:rFonts w:cs="Arial"/>
          <w:iCs/>
        </w:rPr>
        <w:t>a</w:t>
      </w:r>
      <w:r w:rsidRPr="00E74A46">
        <w:rPr>
          <w:rFonts w:cs="Arial"/>
          <w:iCs/>
        </w:rPr>
        <w:t>gricole </w:t>
      </w:r>
      <w:r w:rsidRPr="00E74A46">
        <w:rPr>
          <w:rFonts w:cs="Arial"/>
        </w:rPr>
        <w:t>» et « </w:t>
      </w:r>
      <w:r w:rsidR="007F2527">
        <w:rPr>
          <w:rFonts w:cs="Arial"/>
        </w:rPr>
        <w:t>c</w:t>
      </w:r>
      <w:r w:rsidRPr="00E74A46">
        <w:rPr>
          <w:rFonts w:cs="Arial"/>
        </w:rPr>
        <w:t>rédit interne » qui réalisent les meilleures performances avec des taux de croissance respectifs de 31,4% et 1</w:t>
      </w:r>
      <w:r w:rsidR="007F2527">
        <w:rPr>
          <w:rFonts w:cs="Arial"/>
        </w:rPr>
        <w:t>8</w:t>
      </w:r>
      <w:r w:rsidRPr="00E74A46">
        <w:rPr>
          <w:rFonts w:cs="Arial"/>
        </w:rPr>
        <w:t>,</w:t>
      </w:r>
      <w:r w:rsidR="007F2527">
        <w:rPr>
          <w:rFonts w:cs="Arial"/>
        </w:rPr>
        <w:t>7</w:t>
      </w:r>
      <w:r w:rsidRPr="00E74A46">
        <w:rPr>
          <w:rFonts w:cs="Arial"/>
        </w:rPr>
        <w:t>%. Les assurances « </w:t>
      </w:r>
      <w:r w:rsidR="00414831">
        <w:rPr>
          <w:rFonts w:cs="Arial"/>
        </w:rPr>
        <w:t>a</w:t>
      </w:r>
      <w:r w:rsidRPr="00E74A46">
        <w:rPr>
          <w:rFonts w:cs="Arial"/>
        </w:rPr>
        <w:t>utomobile », « IRD » affiche</w:t>
      </w:r>
      <w:r w:rsidR="007F2527">
        <w:rPr>
          <w:rFonts w:cs="Arial"/>
        </w:rPr>
        <w:t>nt</w:t>
      </w:r>
      <w:r w:rsidRPr="00E74A46">
        <w:rPr>
          <w:rFonts w:cs="Arial"/>
        </w:rPr>
        <w:t xml:space="preserve"> des hausses respectives de 9,5%, 8,2%.</w:t>
      </w:r>
    </w:p>
    <w:p w:rsidR="005A005E" w:rsidRPr="008D2996" w:rsidRDefault="00E74A46" w:rsidP="005A005E">
      <w:pPr>
        <w:spacing w:before="120" w:line="288" w:lineRule="auto"/>
        <w:rPr>
          <w:rFonts w:cs="Arial"/>
        </w:rPr>
      </w:pPr>
      <w:r w:rsidRPr="00E74A46">
        <w:rPr>
          <w:rFonts w:cs="Arial"/>
        </w:rPr>
        <w:t xml:space="preserve">Les évolutions négatives auraient été enregistrées dans </w:t>
      </w:r>
      <w:r w:rsidR="00D0006C">
        <w:rPr>
          <w:rFonts w:cs="Arial"/>
        </w:rPr>
        <w:t>les assurances</w:t>
      </w:r>
      <w:r w:rsidRPr="00E74A46">
        <w:rPr>
          <w:rFonts w:cs="Arial"/>
        </w:rPr>
        <w:t xml:space="preserve"> </w:t>
      </w:r>
      <w:r w:rsidR="00795B2A">
        <w:rPr>
          <w:rFonts w:cs="Arial"/>
        </w:rPr>
        <w:t>« dommages »</w:t>
      </w:r>
      <w:r w:rsidR="00D0006C">
        <w:rPr>
          <w:rFonts w:cs="Arial"/>
        </w:rPr>
        <w:t xml:space="preserve">, dans </w:t>
      </w:r>
      <w:r w:rsidR="00795B2A">
        <w:rPr>
          <w:rFonts w:cs="Arial"/>
        </w:rPr>
        <w:t xml:space="preserve">les </w:t>
      </w:r>
      <w:r w:rsidR="00D0006C">
        <w:rPr>
          <w:rFonts w:cs="Arial"/>
        </w:rPr>
        <w:t>branches</w:t>
      </w:r>
      <w:r w:rsidR="00795B2A">
        <w:rPr>
          <w:rFonts w:cs="Arial"/>
        </w:rPr>
        <w:t xml:space="preserve"> </w:t>
      </w:r>
      <w:r w:rsidRPr="00E74A46">
        <w:rPr>
          <w:rFonts w:cs="Arial"/>
        </w:rPr>
        <w:t>« </w:t>
      </w:r>
      <w:r w:rsidR="00795B2A">
        <w:rPr>
          <w:rFonts w:cs="Arial"/>
          <w:iCs/>
        </w:rPr>
        <w:t>t</w:t>
      </w:r>
      <w:r w:rsidRPr="00E74A46">
        <w:rPr>
          <w:rFonts w:cs="Arial"/>
          <w:iCs/>
        </w:rPr>
        <w:t>ransport</w:t>
      </w:r>
      <w:r w:rsidRPr="00E74A46">
        <w:rPr>
          <w:rFonts w:cs="Arial"/>
        </w:rPr>
        <w:t> » (-7,3%)</w:t>
      </w:r>
      <w:r w:rsidR="00795B2A">
        <w:rPr>
          <w:rFonts w:cs="Arial"/>
        </w:rPr>
        <w:t xml:space="preserve"> et « crédit</w:t>
      </w:r>
      <w:r w:rsidR="00D0006C">
        <w:rPr>
          <w:rFonts w:cs="Arial"/>
        </w:rPr>
        <w:t xml:space="preserve"> à l’exportation</w:t>
      </w:r>
      <w:r w:rsidR="00795B2A">
        <w:rPr>
          <w:rFonts w:cs="Arial"/>
        </w:rPr>
        <w:t xml:space="preserve"> » </w:t>
      </w:r>
      <w:r w:rsidR="00D0006C">
        <w:rPr>
          <w:rFonts w:cs="Arial"/>
        </w:rPr>
        <w:t>(-26,</w:t>
      </w:r>
      <w:r w:rsidR="00210D60">
        <w:rPr>
          <w:rFonts w:cs="Arial"/>
        </w:rPr>
        <w:t>3</w:t>
      </w:r>
      <w:r w:rsidR="00D0006C">
        <w:rPr>
          <w:rFonts w:cs="Arial"/>
        </w:rPr>
        <w:t xml:space="preserve">%) </w:t>
      </w:r>
      <w:r w:rsidR="00795B2A">
        <w:rPr>
          <w:rFonts w:cs="Arial"/>
        </w:rPr>
        <w:t>ainsi que dans les</w:t>
      </w:r>
      <w:r w:rsidRPr="00E74A46">
        <w:rPr>
          <w:rFonts w:cs="Arial"/>
        </w:rPr>
        <w:t xml:space="preserve"> « </w:t>
      </w:r>
      <w:r w:rsidR="00795B2A">
        <w:rPr>
          <w:rFonts w:cs="Arial"/>
        </w:rPr>
        <w:t>a</w:t>
      </w:r>
      <w:r w:rsidRPr="00E74A46">
        <w:rPr>
          <w:rFonts w:cs="Arial"/>
        </w:rPr>
        <w:t xml:space="preserve">ssurances de </w:t>
      </w:r>
      <w:r w:rsidR="00795B2A">
        <w:rPr>
          <w:rFonts w:cs="Arial"/>
        </w:rPr>
        <w:t>p</w:t>
      </w:r>
      <w:r w:rsidRPr="00E74A46">
        <w:rPr>
          <w:rFonts w:cs="Arial"/>
        </w:rPr>
        <w:t>ersonnes » (-7,1%).</w:t>
      </w:r>
    </w:p>
    <w:p w:rsidR="005A005E" w:rsidRPr="008D2996" w:rsidRDefault="005A005E" w:rsidP="005A005E">
      <w:pPr>
        <w:spacing w:before="120" w:line="288" w:lineRule="auto"/>
        <w:rPr>
          <w:rFonts w:cs="Arial"/>
        </w:rPr>
      </w:pPr>
    </w:p>
    <w:p w:rsidR="005A005E" w:rsidRPr="008D2996" w:rsidRDefault="003A6049" w:rsidP="005A005E">
      <w:pPr>
        <w:spacing w:before="120" w:line="288" w:lineRule="auto"/>
        <w:rPr>
          <w:rFonts w:cs="Arial"/>
        </w:rPr>
      </w:pPr>
      <w:r>
        <w:rPr>
          <w:noProof/>
        </w:rPr>
        <w:drawing>
          <wp:inline distT="0" distB="0" distL="0" distR="0">
            <wp:extent cx="6121400" cy="2197100"/>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srcRect/>
                    <a:stretch>
                      <a:fillRect/>
                    </a:stretch>
                  </pic:blipFill>
                  <pic:spPr bwMode="auto">
                    <a:xfrm>
                      <a:off x="0" y="0"/>
                      <a:ext cx="6120130" cy="2196644"/>
                    </a:xfrm>
                    <a:prstGeom prst="rect">
                      <a:avLst/>
                    </a:prstGeom>
                    <a:noFill/>
                    <a:ln w="9525">
                      <a:noFill/>
                      <a:miter lim="800000"/>
                      <a:headEnd/>
                      <a:tailEnd/>
                    </a:ln>
                  </pic:spPr>
                </pic:pic>
              </a:graphicData>
            </a:graphic>
          </wp:inline>
        </w:drawing>
      </w:r>
    </w:p>
    <w:p w:rsidR="005A005E" w:rsidRPr="008D2996" w:rsidRDefault="00E74A46" w:rsidP="005A005E">
      <w:pPr>
        <w:spacing w:after="200" w:line="276" w:lineRule="auto"/>
        <w:jc w:val="left"/>
      </w:pPr>
      <w:r w:rsidRPr="00E74A46">
        <w:br w:type="page"/>
      </w:r>
    </w:p>
    <w:p w:rsidR="005A005E" w:rsidRPr="008D2996" w:rsidRDefault="005A005E" w:rsidP="005A005E">
      <w:pPr>
        <w:spacing w:before="120" w:line="288" w:lineRule="auto"/>
      </w:pPr>
    </w:p>
    <w:p w:rsidR="005A005E" w:rsidRPr="008D2996" w:rsidRDefault="00E74A46" w:rsidP="005A005E">
      <w:pPr>
        <w:pStyle w:val="Titre2"/>
      </w:pPr>
      <w:bookmarkStart w:id="613" w:name="_Toc326156032"/>
      <w:bookmarkStart w:id="614" w:name="_Toc327883466"/>
      <w:bookmarkStart w:id="615" w:name="_Toc327883646"/>
      <w:bookmarkStart w:id="616" w:name="_Toc327883993"/>
      <w:bookmarkStart w:id="617" w:name="_Toc327885060"/>
      <w:bookmarkStart w:id="618" w:name="_Toc327885645"/>
      <w:bookmarkStart w:id="619" w:name="_Toc327916572"/>
      <w:r w:rsidRPr="00E74A46">
        <w:t>Contribution à la production additionnelle</w:t>
      </w:r>
      <w:bookmarkEnd w:id="613"/>
      <w:bookmarkEnd w:id="614"/>
      <w:bookmarkEnd w:id="615"/>
      <w:bookmarkEnd w:id="616"/>
      <w:bookmarkEnd w:id="617"/>
      <w:bookmarkEnd w:id="618"/>
      <w:bookmarkEnd w:id="619"/>
    </w:p>
    <w:p w:rsidR="005A005E" w:rsidRPr="008D2996" w:rsidRDefault="00E74A46" w:rsidP="005A005E">
      <w:pPr>
        <w:pStyle w:val="Titre3"/>
      </w:pPr>
      <w:bookmarkStart w:id="620" w:name="_Toc326156033"/>
      <w:bookmarkStart w:id="621" w:name="_Toc327883467"/>
      <w:bookmarkStart w:id="622" w:name="_Toc327883647"/>
      <w:bookmarkStart w:id="623" w:name="_Toc327883994"/>
      <w:bookmarkStart w:id="624" w:name="_Toc327885061"/>
      <w:bookmarkStart w:id="625" w:name="_Toc327885646"/>
      <w:bookmarkStart w:id="626" w:name="_Toc327916573"/>
      <w:r w:rsidRPr="00E74A46">
        <w:t>Analyse par branche:</w:t>
      </w:r>
      <w:bookmarkEnd w:id="620"/>
      <w:bookmarkEnd w:id="621"/>
      <w:bookmarkEnd w:id="622"/>
      <w:bookmarkEnd w:id="623"/>
      <w:bookmarkEnd w:id="624"/>
      <w:bookmarkEnd w:id="625"/>
      <w:bookmarkEnd w:id="626"/>
    </w:p>
    <w:p w:rsidR="005A005E" w:rsidRPr="008D2996" w:rsidRDefault="00E74A46" w:rsidP="005A005E">
      <w:pPr>
        <w:pStyle w:val="Paragraphedeliste"/>
        <w:numPr>
          <w:ilvl w:val="0"/>
          <w:numId w:val="43"/>
        </w:numPr>
        <w:spacing w:after="120" w:line="264" w:lineRule="auto"/>
        <w:contextualSpacing/>
        <w:jc w:val="both"/>
        <w:rPr>
          <w:rFonts w:ascii="Trebuchet MS" w:hAnsi="Trebuchet MS"/>
          <w:b/>
          <w:color w:val="0000FF"/>
        </w:rPr>
      </w:pPr>
      <w:r w:rsidRPr="00E74A46">
        <w:rPr>
          <w:rFonts w:ascii="Trebuchet MS" w:hAnsi="Trebuchet MS"/>
          <w:b/>
          <w:color w:val="0000FF"/>
        </w:rPr>
        <w:t>Assurances dommages</w:t>
      </w:r>
    </w:p>
    <w:p w:rsidR="005A005E" w:rsidRPr="008D2996" w:rsidRDefault="00E74A46" w:rsidP="005A005E">
      <w:r w:rsidRPr="00E74A46">
        <w:t xml:space="preserve">La production du secteur des assurances aurait marqué une hausse de 6,7%, soit une production additionnelle de 5,4 </w:t>
      </w:r>
      <w:r w:rsidR="009135A6">
        <w:t>milliard</w:t>
      </w:r>
      <w:r w:rsidRPr="00E74A46">
        <w:t xml:space="preserve"> de dinars.</w:t>
      </w:r>
    </w:p>
    <w:p w:rsidR="005A005E" w:rsidRPr="008D2996" w:rsidRDefault="00E74A46" w:rsidP="005A005E">
      <w:r w:rsidRPr="00E74A46">
        <w:t xml:space="preserve">Les contributions les plus significatives à l’augmentation de la production ont été celles de : </w:t>
      </w:r>
      <w:r w:rsidR="002A5B03">
        <w:rPr>
          <w:color w:val="0000FF"/>
          <w:sz w:val="20"/>
        </w:rPr>
        <w:t>(</w:t>
      </w:r>
      <w:r w:rsidRPr="00E74A46">
        <w:rPr>
          <w:color w:val="0000FF"/>
          <w:sz w:val="20"/>
        </w:rPr>
        <w:t xml:space="preserve">tableaux n° 11.02 et n° 11.02 bis) </w:t>
      </w:r>
    </w:p>
    <w:p w:rsidR="005A005E" w:rsidRPr="008D2996" w:rsidRDefault="00E74A46" w:rsidP="005A005E">
      <w:pPr>
        <w:numPr>
          <w:ilvl w:val="0"/>
          <w:numId w:val="3"/>
        </w:numPr>
        <w:spacing w:after="240"/>
        <w:ind w:left="357" w:hanging="357"/>
      </w:pPr>
      <w:r w:rsidRPr="00E74A46">
        <w:t>La branche « </w:t>
      </w:r>
      <w:r w:rsidR="00D0006C">
        <w:t>a</w:t>
      </w:r>
      <w:r w:rsidRPr="00E74A46">
        <w:t>utomobile » qui aurait réalisé une croissance de 9,5% (+12,</w:t>
      </w:r>
      <w:r w:rsidR="009C2460">
        <w:t>2</w:t>
      </w:r>
      <w:r w:rsidRPr="00E74A46">
        <w:t>% en 2010) engendrant ainsi 6</w:t>
      </w:r>
      <w:r w:rsidR="0069571E">
        <w:t>7,0</w:t>
      </w:r>
      <w:r w:rsidRPr="00E74A46">
        <w:t>% de la production additionnelle de tout le secteur du fait de son poids dans la production globale (49,7%).</w:t>
      </w:r>
    </w:p>
    <w:p w:rsidR="005A005E" w:rsidRPr="008D2996" w:rsidRDefault="00E74A46" w:rsidP="005A005E">
      <w:pPr>
        <w:ind w:left="360"/>
      </w:pPr>
      <w:r w:rsidRPr="00E74A46">
        <w:t>Cette progression s’expliquerait toujours par la hausse de la production des garanties facultatives («</w:t>
      </w:r>
      <w:r w:rsidR="0069571E">
        <w:t xml:space="preserve"> t</w:t>
      </w:r>
      <w:r w:rsidRPr="00E74A46">
        <w:t xml:space="preserve">ous </w:t>
      </w:r>
      <w:r w:rsidR="00210D60">
        <w:t>r</w:t>
      </w:r>
      <w:r w:rsidRPr="00E74A46">
        <w:t>isques », « </w:t>
      </w:r>
      <w:r w:rsidR="0069571E">
        <w:t>d</w:t>
      </w:r>
      <w:r w:rsidRPr="00E74A46">
        <w:t>ommage</w:t>
      </w:r>
      <w:r w:rsidR="0069571E">
        <w:t>-c</w:t>
      </w:r>
      <w:r w:rsidRPr="00E74A46">
        <w:t>ollision », …), Il est à signaler que les risques non obligatoires détiennent près de 80,5% du marché de l'assurance automobile.</w:t>
      </w:r>
    </w:p>
    <w:p w:rsidR="005A005E" w:rsidRPr="008D2996" w:rsidRDefault="00E74A46" w:rsidP="00367AC0">
      <w:pPr>
        <w:numPr>
          <w:ilvl w:val="0"/>
          <w:numId w:val="3"/>
        </w:numPr>
        <w:spacing w:after="240"/>
        <w:ind w:left="357" w:hanging="357"/>
      </w:pPr>
      <w:r w:rsidRPr="00E74A46">
        <w:t>La branche « IRD » aurait contribué pour plus de 38</w:t>
      </w:r>
      <w:r w:rsidR="0069571E">
        <w:t>,8</w:t>
      </w:r>
      <w:r w:rsidRPr="00E74A46">
        <w:t xml:space="preserve">% à la production additionnelle sous les effets conjugués de son taux de croissance de </w:t>
      </w:r>
      <w:r w:rsidR="0069571E">
        <w:t>8</w:t>
      </w:r>
      <w:r w:rsidRPr="00E74A46">
        <w:t>,</w:t>
      </w:r>
      <w:r w:rsidR="0069571E">
        <w:t>2</w:t>
      </w:r>
      <w:r w:rsidRPr="00E74A46">
        <w:t>% et de son poids de près de 3</w:t>
      </w:r>
      <w:r w:rsidR="0069571E">
        <w:t>2,8</w:t>
      </w:r>
      <w:r w:rsidRPr="00E74A46">
        <w:t>% dans la production globale.</w:t>
      </w:r>
    </w:p>
    <w:p w:rsidR="005A005E" w:rsidRPr="008D2996" w:rsidRDefault="00E74A46" w:rsidP="005A005E">
      <w:pPr>
        <w:numPr>
          <w:ilvl w:val="0"/>
          <w:numId w:val="3"/>
        </w:numPr>
        <w:spacing w:after="240"/>
        <w:ind w:left="357" w:hanging="357"/>
      </w:pPr>
      <w:r w:rsidRPr="00E74A46">
        <w:rPr>
          <w:rFonts w:cs="Arial"/>
        </w:rPr>
        <w:t>La branche « </w:t>
      </w:r>
      <w:r w:rsidR="0069571E">
        <w:rPr>
          <w:rFonts w:cs="Arial"/>
        </w:rPr>
        <w:t>t</w:t>
      </w:r>
      <w:r w:rsidRPr="00E74A46">
        <w:rPr>
          <w:rFonts w:cs="Arial"/>
        </w:rPr>
        <w:t xml:space="preserve">ransport » aurait </w:t>
      </w:r>
      <w:r w:rsidRPr="00E74A46">
        <w:t>enregistré une baisse de 7,3% faisant ressortir une producti</w:t>
      </w:r>
      <w:r w:rsidR="00367AC0">
        <w:t>on additionnelle négative de 446,6</w:t>
      </w:r>
      <w:r w:rsidRPr="00E74A46">
        <w:t xml:space="preserve"> millions de dinars. Ce recul est due à la baisse constatée en assurance transport maritime (-1,6%) dont la part dans la branche est estimée à 73% à fin 2011 en raison de la baisse enregistrée par la garantie des « facultés maritimes » (-5%) et qui détient 49% de la production de l’assurance maritime, ainsi que la forte baisse du chiffre d’affaires de l’assurance du transport aérien (-52%) due notamment au non renouvellement du contrat satellite algérien ALSAT (constaté au 1er trimestre 2011).</w:t>
      </w:r>
    </w:p>
    <w:p w:rsidR="005A005E" w:rsidRPr="008D2996" w:rsidRDefault="00E74A46" w:rsidP="005A005E">
      <w:pPr>
        <w:pStyle w:val="Paragraphedeliste"/>
        <w:numPr>
          <w:ilvl w:val="0"/>
          <w:numId w:val="3"/>
        </w:numPr>
        <w:spacing w:after="120" w:line="240" w:lineRule="auto"/>
        <w:contextualSpacing/>
        <w:jc w:val="both"/>
        <w:rPr>
          <w:rFonts w:ascii="Trebuchet MS" w:hAnsi="Trebuchet MS"/>
        </w:rPr>
      </w:pPr>
      <w:r w:rsidRPr="00E74A46">
        <w:rPr>
          <w:rFonts w:ascii="Trebuchet MS" w:hAnsi="Trebuchet MS"/>
        </w:rPr>
        <w:t xml:space="preserve">Les « risques agricoles » auraient enregistré une hausse de </w:t>
      </w:r>
      <w:r w:rsidR="00210D60">
        <w:rPr>
          <w:rFonts w:ascii="Trebuchet MS" w:hAnsi="Trebuchet MS"/>
        </w:rPr>
        <w:t>31</w:t>
      </w:r>
      <w:r w:rsidRPr="00E74A46">
        <w:rPr>
          <w:rFonts w:ascii="Trebuchet MS" w:hAnsi="Trebuchet MS"/>
        </w:rPr>
        <w:t>,</w:t>
      </w:r>
      <w:r w:rsidR="00210D60">
        <w:rPr>
          <w:rFonts w:ascii="Trebuchet MS" w:hAnsi="Trebuchet MS"/>
        </w:rPr>
        <w:t>4</w:t>
      </w:r>
      <w:r w:rsidRPr="00E74A46">
        <w:rPr>
          <w:rFonts w:ascii="Trebuchet MS" w:hAnsi="Trebuchet MS"/>
        </w:rPr>
        <w:t>% en 2011, engendrant une production addi</w:t>
      </w:r>
      <w:r w:rsidR="00367AC0">
        <w:rPr>
          <w:rFonts w:ascii="Trebuchet MS" w:hAnsi="Trebuchet MS"/>
        </w:rPr>
        <w:t>tionnelle de qui s’établit à 388,9</w:t>
      </w:r>
      <w:r w:rsidRPr="00E74A46">
        <w:rPr>
          <w:rFonts w:ascii="Trebuchet MS" w:hAnsi="Trebuchet MS"/>
        </w:rPr>
        <w:t xml:space="preserve"> millions de dinars, expliquée par les croissances enregistrée en assurance végétale, </w:t>
      </w:r>
      <w:r w:rsidRPr="00E74A46">
        <w:rPr>
          <w:rFonts w:ascii="Trebuchet MS" w:hAnsi="Trebuchet MS" w:cs="Footlight MT Light"/>
          <w:spacing w:val="-4"/>
          <w:sz w:val="24"/>
        </w:rPr>
        <w:t xml:space="preserve"> </w:t>
      </w:r>
      <w:r w:rsidRPr="00E74A46">
        <w:rPr>
          <w:rFonts w:ascii="Trebuchet MS" w:hAnsi="Trebuchet MS"/>
        </w:rPr>
        <w:t>assurance de certains dommages aux biens du secteur agricole</w:t>
      </w:r>
      <w:r w:rsidR="00210D60">
        <w:rPr>
          <w:rFonts w:ascii="Trebuchet MS" w:hAnsi="Trebuchet MS"/>
        </w:rPr>
        <w:t xml:space="preserve"> </w:t>
      </w:r>
      <w:r w:rsidRPr="00E74A46">
        <w:rPr>
          <w:rFonts w:ascii="Trebuchet MS" w:hAnsi="Trebuchet MS"/>
        </w:rPr>
        <w:t>(spécialement le matériel agricole et engins) ainsi qu’en assurance animale avec des taux respectifs de +15,3%, 43% et 42%.</w:t>
      </w:r>
      <w:r w:rsidRPr="00E74A46">
        <w:rPr>
          <w:rFonts w:ascii="Trebuchet MS" w:hAnsi="Trebuchet MS"/>
          <w:sz w:val="24"/>
        </w:rPr>
        <w:t xml:space="preserve"> </w:t>
      </w:r>
    </w:p>
    <w:p w:rsidR="005A005E" w:rsidRPr="008D2996" w:rsidRDefault="00E74A46" w:rsidP="005A005E">
      <w:pPr>
        <w:pStyle w:val="Paragraphedeliste"/>
        <w:numPr>
          <w:ilvl w:val="0"/>
          <w:numId w:val="3"/>
        </w:numPr>
        <w:spacing w:before="120" w:after="120" w:line="288" w:lineRule="auto"/>
        <w:contextualSpacing/>
        <w:jc w:val="both"/>
        <w:rPr>
          <w:rFonts w:ascii="Trebuchet MS" w:hAnsi="Trebuchet MS" w:cs="Arial"/>
        </w:rPr>
      </w:pPr>
      <w:r w:rsidRPr="00E74A46">
        <w:rPr>
          <w:rFonts w:ascii="Trebuchet MS" w:hAnsi="Trebuchet MS" w:cs="Arial"/>
        </w:rPr>
        <w:t>L</w:t>
      </w:r>
      <w:r w:rsidR="00210D60">
        <w:rPr>
          <w:rFonts w:ascii="Trebuchet MS" w:hAnsi="Trebuchet MS" w:cs="Arial"/>
        </w:rPr>
        <w:t>a</w:t>
      </w:r>
      <w:r w:rsidRPr="00E74A46">
        <w:rPr>
          <w:rFonts w:ascii="Trebuchet MS" w:hAnsi="Trebuchet MS" w:cs="Arial"/>
        </w:rPr>
        <w:t xml:space="preserve"> branche « crédit interne» </w:t>
      </w:r>
      <w:r w:rsidR="00210D60">
        <w:rPr>
          <w:rFonts w:ascii="Trebuchet MS" w:hAnsi="Trebuchet MS" w:cs="Arial"/>
        </w:rPr>
        <w:t>a</w:t>
      </w:r>
      <w:r w:rsidRPr="00E74A46">
        <w:rPr>
          <w:rFonts w:ascii="Trebuchet MS" w:hAnsi="Trebuchet MS"/>
        </w:rPr>
        <w:t xml:space="preserve"> pour</w:t>
      </w:r>
      <w:r w:rsidR="00210D60">
        <w:rPr>
          <w:rFonts w:ascii="Trebuchet MS" w:hAnsi="Trebuchet MS"/>
        </w:rPr>
        <w:t xml:space="preserve"> sa</w:t>
      </w:r>
      <w:r w:rsidRPr="00E74A46">
        <w:rPr>
          <w:rFonts w:ascii="Trebuchet MS" w:hAnsi="Trebuchet MS"/>
        </w:rPr>
        <w:t xml:space="preserve"> part </w:t>
      </w:r>
      <w:r w:rsidRPr="00E74A46">
        <w:rPr>
          <w:rFonts w:ascii="Trebuchet MS" w:hAnsi="Trebuchet MS" w:cs="Arial"/>
        </w:rPr>
        <w:t xml:space="preserve">contribué positivement à </w:t>
      </w:r>
      <w:r w:rsidR="008E7FD6">
        <w:rPr>
          <w:rFonts w:ascii="Trebuchet MS" w:hAnsi="Trebuchet MS" w:cs="Arial"/>
        </w:rPr>
        <w:t>la production additionnelle (+69,3</w:t>
      </w:r>
      <w:r w:rsidRPr="00E74A46">
        <w:rPr>
          <w:rFonts w:ascii="Trebuchet MS" w:hAnsi="Trebuchet MS" w:cs="Arial"/>
        </w:rPr>
        <w:t xml:space="preserve"> millions de dinars en 2011 par rapport à 2010). </w:t>
      </w:r>
      <w:r w:rsidRPr="00E74A46">
        <w:rPr>
          <w:rFonts w:ascii="Trebuchet MS" w:hAnsi="Trebuchet MS"/>
        </w:rPr>
        <w:t>Le crédit à l’exportation accuse une régression de 26</w:t>
      </w:r>
      <w:r w:rsidR="00210D60">
        <w:rPr>
          <w:rFonts w:ascii="Trebuchet MS" w:hAnsi="Trebuchet MS"/>
        </w:rPr>
        <w:t>,3</w:t>
      </w:r>
      <w:r w:rsidRPr="00E74A46">
        <w:rPr>
          <w:rFonts w:ascii="Trebuchet MS" w:hAnsi="Trebuchet MS"/>
        </w:rPr>
        <w:t>%</w:t>
      </w:r>
      <w:r w:rsidR="00210D60">
        <w:rPr>
          <w:rFonts w:ascii="Trebuchet MS" w:hAnsi="Trebuchet MS"/>
        </w:rPr>
        <w:t xml:space="preserve"> avec une production additionnelle négative qui atteint </w:t>
      </w:r>
      <w:r w:rsidR="00C070F5">
        <w:rPr>
          <w:rFonts w:ascii="Trebuchet MS" w:hAnsi="Trebuchet MS"/>
        </w:rPr>
        <w:t>près de 15 millions de DA</w:t>
      </w:r>
      <w:r w:rsidRPr="00E74A46">
        <w:rPr>
          <w:rFonts w:ascii="Trebuchet MS" w:hAnsi="Trebuchet MS"/>
        </w:rPr>
        <w:t>.</w:t>
      </w:r>
    </w:p>
    <w:p w:rsidR="005A005E" w:rsidRPr="008D2996" w:rsidRDefault="005A005E" w:rsidP="005A005E">
      <w:pPr>
        <w:pStyle w:val="Paragraphedeliste"/>
        <w:spacing w:before="120" w:line="288" w:lineRule="auto"/>
        <w:ind w:left="360"/>
        <w:rPr>
          <w:rFonts w:ascii="Trebuchet MS" w:hAnsi="Trebuchet MS" w:cs="Arial"/>
        </w:rPr>
      </w:pPr>
    </w:p>
    <w:p w:rsidR="005A005E" w:rsidRPr="008D2996" w:rsidRDefault="00E74A46" w:rsidP="005A005E">
      <w:pPr>
        <w:pStyle w:val="Paragraphedeliste"/>
        <w:numPr>
          <w:ilvl w:val="0"/>
          <w:numId w:val="43"/>
        </w:numPr>
        <w:spacing w:after="120" w:line="264" w:lineRule="auto"/>
        <w:contextualSpacing/>
        <w:jc w:val="both"/>
        <w:rPr>
          <w:rFonts w:ascii="Trebuchet MS" w:hAnsi="Trebuchet MS"/>
          <w:b/>
          <w:color w:val="0000FF"/>
        </w:rPr>
      </w:pPr>
      <w:r w:rsidRPr="00E74A46">
        <w:rPr>
          <w:rFonts w:ascii="Trebuchet MS" w:hAnsi="Trebuchet MS"/>
          <w:b/>
          <w:color w:val="0000FF"/>
        </w:rPr>
        <w:t>Assurances de personnes</w:t>
      </w:r>
    </w:p>
    <w:p w:rsidR="005A005E" w:rsidRPr="008D2996" w:rsidRDefault="00E74A46" w:rsidP="005A005E">
      <w:pPr>
        <w:spacing w:line="240" w:lineRule="auto"/>
      </w:pPr>
      <w:r w:rsidRPr="00E74A46">
        <w:t>Les assurances de personnes accusent une décroissance qui aurait atteint les 7</w:t>
      </w:r>
      <w:r w:rsidR="004C75EC">
        <w:t>,1</w:t>
      </w:r>
      <w:r w:rsidRPr="00E74A46">
        <w:t>%, contribuant ainsi négativement à la production additionnelle. Ce repli pourrait être expliqué par la filialisation des assurances de personnes (opérationnelle depuis juillet 2011) engendrant ainsi la diminution du nombre de sociétés qui commercialisent les produits d’assurance de personnes.</w:t>
      </w:r>
    </w:p>
    <w:p w:rsidR="005A005E" w:rsidRPr="008D2996" w:rsidRDefault="00E74A46" w:rsidP="005A005E">
      <w:pPr>
        <w:spacing w:line="240" w:lineRule="auto"/>
      </w:pPr>
      <w:r w:rsidRPr="00E74A46">
        <w:t>Les garanties « </w:t>
      </w:r>
      <w:r w:rsidR="00C070F5">
        <w:t>g</w:t>
      </w:r>
      <w:r w:rsidRPr="00E74A46">
        <w:t>roupe », « </w:t>
      </w:r>
      <w:r w:rsidR="00C070F5">
        <w:t>v</w:t>
      </w:r>
      <w:r w:rsidRPr="00E74A46">
        <w:t>ie-décès -</w:t>
      </w:r>
      <w:r w:rsidR="00C070F5">
        <w:t>r</w:t>
      </w:r>
      <w:r w:rsidRPr="00E74A46">
        <w:t xml:space="preserve">etraite» et « </w:t>
      </w:r>
      <w:r w:rsidR="00C070F5">
        <w:t>a</w:t>
      </w:r>
      <w:r w:rsidRPr="00E74A46">
        <w:t xml:space="preserve">ssistance en cours de déplacements » qui détiennent, dans l’ordre, 36,9%, 29,1% et 12,9% du portefeuille de la branche, enregistrent des </w:t>
      </w:r>
      <w:r w:rsidRPr="00E74A46">
        <w:lastRenderedPageBreak/>
        <w:t xml:space="preserve">taux d’évolution respectifs de 6,3%, 7,4% et 8,7%, comparativement à l’année2010. En revanche, les primes collectées en assurance </w:t>
      </w:r>
      <w:r w:rsidR="00C070F5">
        <w:t>« a</w:t>
      </w:r>
      <w:r w:rsidRPr="00E74A46">
        <w:t>ccidents-</w:t>
      </w:r>
      <w:r w:rsidR="00C070F5">
        <w:t>m</w:t>
      </w:r>
      <w:r w:rsidRPr="00E74A46">
        <w:t>aladie</w:t>
      </w:r>
      <w:r w:rsidR="00C070F5">
        <w:t> »</w:t>
      </w:r>
      <w:r w:rsidRPr="00E74A46">
        <w:t xml:space="preserve"> connaissent  une baisse de 37,9%  avec  une part de marché dans la branche de 21,1%.</w:t>
      </w:r>
    </w:p>
    <w:p w:rsidR="005A005E" w:rsidRPr="008D2996" w:rsidRDefault="003A6049" w:rsidP="005A005E">
      <w:pPr>
        <w:spacing w:line="240" w:lineRule="auto"/>
      </w:pPr>
      <w:r>
        <w:rPr>
          <w:noProof/>
        </w:rPr>
        <w:drawing>
          <wp:inline distT="0" distB="0" distL="0" distR="0">
            <wp:extent cx="6120130" cy="3283527"/>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srcRect/>
                    <a:stretch>
                      <a:fillRect/>
                    </a:stretch>
                  </pic:blipFill>
                  <pic:spPr bwMode="auto">
                    <a:xfrm>
                      <a:off x="0" y="0"/>
                      <a:ext cx="6120130" cy="3283527"/>
                    </a:xfrm>
                    <a:prstGeom prst="rect">
                      <a:avLst/>
                    </a:prstGeom>
                    <a:noFill/>
                    <a:ln w="9525">
                      <a:noFill/>
                      <a:miter lim="800000"/>
                      <a:headEnd/>
                      <a:tailEnd/>
                    </a:ln>
                  </pic:spPr>
                </pic:pic>
              </a:graphicData>
            </a:graphic>
          </wp:inline>
        </w:drawing>
      </w:r>
    </w:p>
    <w:p w:rsidR="005A005E" w:rsidRPr="008D2996" w:rsidRDefault="005A005E" w:rsidP="005A005E">
      <w:pPr>
        <w:pStyle w:val="Titre3"/>
        <w:spacing w:line="360" w:lineRule="auto"/>
        <w:rPr>
          <w:b w:val="0"/>
          <w:bCs w:val="0"/>
        </w:rPr>
      </w:pPr>
    </w:p>
    <w:p w:rsidR="005A005E" w:rsidRPr="008D2996" w:rsidRDefault="00E74A46" w:rsidP="005A005E">
      <w:pPr>
        <w:pStyle w:val="Titre3"/>
        <w:spacing w:line="360" w:lineRule="auto"/>
      </w:pPr>
      <w:bookmarkStart w:id="627" w:name="_Toc326156034"/>
      <w:bookmarkStart w:id="628" w:name="_Toc327883468"/>
      <w:bookmarkStart w:id="629" w:name="_Toc327883648"/>
      <w:bookmarkStart w:id="630" w:name="_Toc327883995"/>
      <w:bookmarkStart w:id="631" w:name="_Toc327885062"/>
      <w:bookmarkStart w:id="632" w:name="_Toc327885647"/>
      <w:bookmarkStart w:id="633" w:name="_Toc327916574"/>
      <w:r w:rsidRPr="00E74A46">
        <w:t>Analyse par compagnie :</w:t>
      </w:r>
      <w:bookmarkEnd w:id="627"/>
      <w:bookmarkEnd w:id="628"/>
      <w:bookmarkEnd w:id="629"/>
      <w:bookmarkEnd w:id="630"/>
      <w:bookmarkEnd w:id="631"/>
      <w:bookmarkEnd w:id="632"/>
      <w:bookmarkEnd w:id="633"/>
    </w:p>
    <w:p w:rsidR="005A005E" w:rsidRPr="008D2996" w:rsidRDefault="00E74A46" w:rsidP="005A005E">
      <w:pPr>
        <w:spacing w:before="120" w:line="288" w:lineRule="auto"/>
      </w:pPr>
      <w:r w:rsidRPr="00E74A46">
        <w:t>Les contributions des sociétés à cette production additionnelle sont récapitulées  ci</w:t>
      </w:r>
      <w:r w:rsidR="004266FA">
        <w:t>-</w:t>
      </w:r>
      <w:r w:rsidRPr="00E74A46">
        <w:t>après :</w:t>
      </w:r>
      <w:r w:rsidR="004266FA" w:rsidRPr="004266FA">
        <w:t xml:space="preserve"> </w:t>
      </w:r>
      <w:r w:rsidR="003A6049">
        <w:rPr>
          <w:noProof/>
        </w:rPr>
        <w:drawing>
          <wp:inline distT="0" distB="0" distL="0" distR="0">
            <wp:extent cx="5327650" cy="5778500"/>
            <wp:effectExtent l="19050" t="0" r="635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srcRect/>
                    <a:stretch>
                      <a:fillRect/>
                    </a:stretch>
                  </pic:blipFill>
                  <pic:spPr bwMode="auto">
                    <a:xfrm>
                      <a:off x="0" y="0"/>
                      <a:ext cx="5327650" cy="5778500"/>
                    </a:xfrm>
                    <a:prstGeom prst="rect">
                      <a:avLst/>
                    </a:prstGeom>
                    <a:noFill/>
                    <a:ln w="9525">
                      <a:noFill/>
                      <a:miter lim="800000"/>
                      <a:headEnd/>
                      <a:tailEnd/>
                    </a:ln>
                  </pic:spPr>
                </pic:pic>
              </a:graphicData>
            </a:graphic>
          </wp:inline>
        </w:drawing>
      </w:r>
    </w:p>
    <w:p w:rsidR="005A005E" w:rsidRPr="008D2996" w:rsidRDefault="005A005E" w:rsidP="005A005E">
      <w:pPr>
        <w:spacing w:line="240" w:lineRule="auto"/>
      </w:pPr>
    </w:p>
    <w:p w:rsidR="005A005E" w:rsidRPr="008D2996" w:rsidRDefault="00E74A46" w:rsidP="005A005E">
      <w:pPr>
        <w:spacing w:line="288" w:lineRule="auto"/>
      </w:pPr>
      <w:r w:rsidRPr="00E74A46">
        <w:t xml:space="preserve">Avec une part de marché de </w:t>
      </w:r>
      <w:r w:rsidR="004266FA">
        <w:t>75,0</w:t>
      </w:r>
      <w:r w:rsidRPr="00E74A46">
        <w:t>% et une évolution de 7</w:t>
      </w:r>
      <w:r w:rsidR="004266FA">
        <w:t>,3</w:t>
      </w:r>
      <w:r w:rsidRPr="00E74A46">
        <w:t>%, le secteur public  participe à raison de  4</w:t>
      </w:r>
      <w:r w:rsidR="009D182F">
        <w:t xml:space="preserve"> </w:t>
      </w:r>
      <w:r w:rsidRPr="00E74A46">
        <w:t>4</w:t>
      </w:r>
      <w:r w:rsidR="009D182F">
        <w:t>77,5</w:t>
      </w:r>
      <w:r w:rsidRPr="00E74A46">
        <w:t xml:space="preserve"> millions de dinars dans la production additionnelle totale du secteur, soit un taux de contribution de </w:t>
      </w:r>
      <w:r w:rsidR="009D182F">
        <w:t>79,9</w:t>
      </w:r>
      <w:r w:rsidRPr="00E74A46">
        <w:t>%.</w:t>
      </w:r>
    </w:p>
    <w:p w:rsidR="005A005E" w:rsidRDefault="00E74A46" w:rsidP="005A005E">
      <w:pPr>
        <w:spacing w:line="288" w:lineRule="auto"/>
      </w:pPr>
      <w:r w:rsidRPr="00E74A46">
        <w:t>Avec une  part de marché de 25</w:t>
      </w:r>
      <w:r w:rsidR="009D182F">
        <w:t>,0</w:t>
      </w:r>
      <w:r w:rsidRPr="00E74A46">
        <w:t>%, le secteur privé participe à la production additionnelle à hauteur de 20</w:t>
      </w:r>
      <w:r w:rsidR="009D182F">
        <w:t>,1</w:t>
      </w:r>
      <w:r w:rsidRPr="00E74A46">
        <w:t>%, soit 1 124,3 millions de DA.</w:t>
      </w:r>
    </w:p>
    <w:p w:rsidR="008D2996" w:rsidRDefault="008D2996" w:rsidP="005A005E">
      <w:pPr>
        <w:spacing w:line="288" w:lineRule="auto"/>
      </w:pPr>
    </w:p>
    <w:p w:rsidR="008D2996" w:rsidRPr="008D2996" w:rsidRDefault="008D2996" w:rsidP="005A005E">
      <w:pPr>
        <w:spacing w:line="288" w:lineRule="auto"/>
      </w:pPr>
    </w:p>
    <w:p w:rsidR="005A005E" w:rsidRPr="008D2996" w:rsidRDefault="005A005E" w:rsidP="005A005E">
      <w:pPr>
        <w:spacing w:line="240" w:lineRule="auto"/>
      </w:pPr>
    </w:p>
    <w:p w:rsidR="005A005E" w:rsidRPr="008D2996" w:rsidRDefault="00E74A46" w:rsidP="005A005E">
      <w:pPr>
        <w:pStyle w:val="Titre1"/>
      </w:pPr>
      <w:bookmarkStart w:id="634" w:name="_Toc326156035"/>
      <w:bookmarkStart w:id="635" w:name="_Toc327883469"/>
      <w:bookmarkStart w:id="636" w:name="_Toc327916575"/>
      <w:r w:rsidRPr="00E74A46">
        <w:t>parts de marché</w:t>
      </w:r>
      <w:bookmarkEnd w:id="634"/>
      <w:bookmarkEnd w:id="635"/>
      <w:bookmarkEnd w:id="636"/>
    </w:p>
    <w:p w:rsidR="005A005E" w:rsidRPr="008D2996" w:rsidRDefault="00E74A46" w:rsidP="005A005E">
      <w:pPr>
        <w:spacing w:after="60"/>
        <w:rPr>
          <w:sz w:val="24"/>
        </w:rPr>
      </w:pPr>
      <w:r w:rsidRPr="00E74A46">
        <w:rPr>
          <w:sz w:val="24"/>
        </w:rPr>
        <w:t>Le poids des différentes branches dans la production globale reste marqué par une prédominance de l'automobile avec 49,7% suivie de l’IRD avec 32,8%  Ces deux branches constituent ensemble près de 8</w:t>
      </w:r>
      <w:r w:rsidR="009D182F">
        <w:rPr>
          <w:sz w:val="24"/>
        </w:rPr>
        <w:t>2,5</w:t>
      </w:r>
      <w:r w:rsidRPr="00E74A46">
        <w:rPr>
          <w:sz w:val="24"/>
        </w:rPr>
        <w:t>% de la production du secteur.</w:t>
      </w:r>
    </w:p>
    <w:p w:rsidR="005A005E" w:rsidRPr="008D2996" w:rsidRDefault="00E74A46" w:rsidP="00C9188A">
      <w:pPr>
        <w:pStyle w:val="Normalnoir"/>
        <w:spacing w:after="100" w:afterAutospacing="1"/>
        <w:rPr>
          <w:sz w:val="24"/>
          <w:szCs w:val="24"/>
        </w:rPr>
      </w:pPr>
      <w:r w:rsidRPr="00E74A46">
        <w:rPr>
          <w:sz w:val="24"/>
          <w:szCs w:val="24"/>
        </w:rPr>
        <w:t>Les branches « </w:t>
      </w:r>
      <w:r w:rsidR="009D182F">
        <w:rPr>
          <w:sz w:val="24"/>
          <w:szCs w:val="24"/>
        </w:rPr>
        <w:t>a</w:t>
      </w:r>
      <w:r w:rsidRPr="00E74A46">
        <w:rPr>
          <w:sz w:val="24"/>
          <w:szCs w:val="24"/>
        </w:rPr>
        <w:t>ssurances de personnes » et « </w:t>
      </w:r>
      <w:r w:rsidR="009D182F">
        <w:rPr>
          <w:sz w:val="24"/>
          <w:szCs w:val="24"/>
        </w:rPr>
        <w:t>t</w:t>
      </w:r>
      <w:r w:rsidRPr="00E74A46">
        <w:rPr>
          <w:sz w:val="24"/>
          <w:szCs w:val="24"/>
        </w:rPr>
        <w:t xml:space="preserve">ransport » occupent les troisième et quatrième positions avec des parts respectives de 7,6% et 6,5%. Les </w:t>
      </w:r>
      <w:r w:rsidR="009D182F">
        <w:rPr>
          <w:sz w:val="24"/>
          <w:szCs w:val="24"/>
        </w:rPr>
        <w:t> « a</w:t>
      </w:r>
      <w:r w:rsidRPr="00E74A46">
        <w:rPr>
          <w:sz w:val="24"/>
          <w:szCs w:val="24"/>
        </w:rPr>
        <w:t xml:space="preserve">ssurances </w:t>
      </w:r>
      <w:r w:rsidR="009D182F">
        <w:rPr>
          <w:sz w:val="24"/>
          <w:szCs w:val="24"/>
        </w:rPr>
        <w:t>a</w:t>
      </w:r>
      <w:r w:rsidRPr="00E74A46">
        <w:rPr>
          <w:sz w:val="24"/>
          <w:szCs w:val="24"/>
        </w:rPr>
        <w:t>gricoles</w:t>
      </w:r>
      <w:r w:rsidR="009D182F">
        <w:rPr>
          <w:sz w:val="24"/>
          <w:szCs w:val="24"/>
        </w:rPr>
        <w:t> »</w:t>
      </w:r>
      <w:r w:rsidRPr="00E74A46">
        <w:rPr>
          <w:sz w:val="24"/>
          <w:szCs w:val="24"/>
        </w:rPr>
        <w:t xml:space="preserve"> et </w:t>
      </w:r>
      <w:r w:rsidR="009D182F">
        <w:rPr>
          <w:sz w:val="24"/>
          <w:szCs w:val="24"/>
        </w:rPr>
        <w:t> « c</w:t>
      </w:r>
      <w:r w:rsidRPr="00E74A46">
        <w:rPr>
          <w:sz w:val="24"/>
          <w:szCs w:val="24"/>
        </w:rPr>
        <w:t>rédit</w:t>
      </w:r>
      <w:r w:rsidR="009D182F">
        <w:rPr>
          <w:sz w:val="24"/>
          <w:szCs w:val="24"/>
        </w:rPr>
        <w:t> »</w:t>
      </w:r>
      <w:r w:rsidRPr="00E74A46">
        <w:rPr>
          <w:sz w:val="24"/>
          <w:szCs w:val="24"/>
        </w:rPr>
        <w:t xml:space="preserve"> occup</w:t>
      </w:r>
      <w:r w:rsidR="00C9188A">
        <w:rPr>
          <w:sz w:val="24"/>
          <w:szCs w:val="24"/>
        </w:rPr>
        <w:t>ent seulement, respectivement, 1,9</w:t>
      </w:r>
      <w:r w:rsidRPr="00E74A46">
        <w:rPr>
          <w:sz w:val="24"/>
          <w:szCs w:val="24"/>
        </w:rPr>
        <w:t xml:space="preserve">% et </w:t>
      </w:r>
      <w:r w:rsidR="00C9188A">
        <w:rPr>
          <w:sz w:val="24"/>
          <w:szCs w:val="24"/>
        </w:rPr>
        <w:t>0,6%</w:t>
      </w:r>
      <w:r w:rsidRPr="00E74A46">
        <w:rPr>
          <w:sz w:val="24"/>
          <w:szCs w:val="24"/>
        </w:rPr>
        <w:t xml:space="preserve"> de parts de marché.</w:t>
      </w:r>
    </w:p>
    <w:p w:rsidR="005A005E" w:rsidRPr="008D2996" w:rsidRDefault="00E74A46" w:rsidP="00C9188A">
      <w:pPr>
        <w:pStyle w:val="Normalnoir"/>
        <w:spacing w:after="100" w:afterAutospacing="1"/>
        <w:rPr>
          <w:sz w:val="24"/>
          <w:szCs w:val="24"/>
        </w:rPr>
      </w:pPr>
      <w:r w:rsidRPr="00E74A46">
        <w:rPr>
          <w:sz w:val="24"/>
          <w:szCs w:val="24"/>
        </w:rPr>
        <w:t>La SAA maintient sa position de leader en réalisant 24,</w:t>
      </w:r>
      <w:r w:rsidR="00C9188A">
        <w:rPr>
          <w:sz w:val="24"/>
          <w:szCs w:val="24"/>
        </w:rPr>
        <w:t>4</w:t>
      </w:r>
      <w:r w:rsidRPr="00E74A46">
        <w:rPr>
          <w:sz w:val="24"/>
          <w:szCs w:val="24"/>
        </w:rPr>
        <w:t>% de la production globale de 2011. Elle domine toujours les branches « </w:t>
      </w:r>
      <w:r w:rsidR="009D182F">
        <w:rPr>
          <w:sz w:val="24"/>
          <w:szCs w:val="24"/>
        </w:rPr>
        <w:t>a</w:t>
      </w:r>
      <w:r w:rsidRPr="00E74A46">
        <w:rPr>
          <w:sz w:val="24"/>
          <w:szCs w:val="24"/>
        </w:rPr>
        <w:t>utomobile » et « </w:t>
      </w:r>
      <w:r w:rsidR="009D182F">
        <w:rPr>
          <w:sz w:val="24"/>
          <w:szCs w:val="24"/>
        </w:rPr>
        <w:t>a</w:t>
      </w:r>
      <w:r w:rsidRPr="00E74A46">
        <w:rPr>
          <w:sz w:val="24"/>
          <w:szCs w:val="24"/>
        </w:rPr>
        <w:t xml:space="preserve">ssurances de </w:t>
      </w:r>
      <w:r w:rsidR="009D182F">
        <w:rPr>
          <w:sz w:val="24"/>
          <w:szCs w:val="24"/>
        </w:rPr>
        <w:t>p</w:t>
      </w:r>
      <w:r w:rsidRPr="00E74A46">
        <w:rPr>
          <w:sz w:val="24"/>
          <w:szCs w:val="24"/>
        </w:rPr>
        <w:t>ersonnes » avec des poids respectifs de 35,4%, 21,3%.</w:t>
      </w:r>
    </w:p>
    <w:p w:rsidR="005A005E" w:rsidRPr="008D2996" w:rsidRDefault="00E74A46" w:rsidP="00C9188A">
      <w:pPr>
        <w:pStyle w:val="Normalnoir"/>
        <w:spacing w:after="100" w:afterAutospacing="1"/>
        <w:rPr>
          <w:sz w:val="24"/>
          <w:szCs w:val="24"/>
        </w:rPr>
      </w:pPr>
      <w:r w:rsidRPr="00E74A46">
        <w:rPr>
          <w:sz w:val="24"/>
          <w:szCs w:val="24"/>
        </w:rPr>
        <w:t xml:space="preserve"> La CAAT  se maintient à la deuxième position avec 16,6%.  Elle est leader dans la branche </w:t>
      </w:r>
      <w:r w:rsidR="009D182F">
        <w:rPr>
          <w:sz w:val="24"/>
          <w:szCs w:val="24"/>
        </w:rPr>
        <w:t>« </w:t>
      </w:r>
      <w:r w:rsidRPr="00E74A46">
        <w:rPr>
          <w:sz w:val="24"/>
          <w:szCs w:val="24"/>
        </w:rPr>
        <w:t>IRD</w:t>
      </w:r>
      <w:r w:rsidR="009D182F">
        <w:rPr>
          <w:sz w:val="24"/>
          <w:szCs w:val="24"/>
        </w:rPr>
        <w:t> »</w:t>
      </w:r>
      <w:r w:rsidRPr="00E74A46">
        <w:rPr>
          <w:sz w:val="24"/>
          <w:szCs w:val="24"/>
        </w:rPr>
        <w:t xml:space="preserve"> avec un poids de 2</w:t>
      </w:r>
      <w:r w:rsidR="00C9188A">
        <w:rPr>
          <w:sz w:val="24"/>
          <w:szCs w:val="24"/>
        </w:rPr>
        <w:t>5</w:t>
      </w:r>
      <w:r w:rsidRPr="00E74A46">
        <w:rPr>
          <w:sz w:val="24"/>
          <w:szCs w:val="24"/>
        </w:rPr>
        <w:t xml:space="preserve">,8%. </w:t>
      </w:r>
    </w:p>
    <w:p w:rsidR="005A005E" w:rsidRPr="008D2996" w:rsidRDefault="00E74A46" w:rsidP="005A005E">
      <w:pPr>
        <w:pStyle w:val="Normalnoir"/>
        <w:spacing w:after="100" w:afterAutospacing="1"/>
        <w:rPr>
          <w:sz w:val="24"/>
          <w:szCs w:val="24"/>
        </w:rPr>
      </w:pPr>
      <w:r w:rsidRPr="00E74A46">
        <w:rPr>
          <w:sz w:val="24"/>
          <w:szCs w:val="24"/>
        </w:rPr>
        <w:t>La CAAR occupe la troisième place avec 14,7%. Elle est leader dans la branche « </w:t>
      </w:r>
      <w:r w:rsidR="004F4AE5">
        <w:rPr>
          <w:sz w:val="24"/>
          <w:szCs w:val="24"/>
        </w:rPr>
        <w:t>t</w:t>
      </w:r>
      <w:r w:rsidRPr="00E74A46">
        <w:rPr>
          <w:sz w:val="24"/>
          <w:szCs w:val="24"/>
        </w:rPr>
        <w:t xml:space="preserve">ransport » avec un poids de 33,7%. </w:t>
      </w:r>
    </w:p>
    <w:p w:rsidR="005A005E" w:rsidRPr="008D2996" w:rsidRDefault="00E74A46" w:rsidP="00C9188A">
      <w:pPr>
        <w:pStyle w:val="Normalnoir"/>
        <w:spacing w:after="100" w:afterAutospacing="1"/>
        <w:rPr>
          <w:sz w:val="24"/>
          <w:szCs w:val="24"/>
        </w:rPr>
      </w:pPr>
      <w:r w:rsidRPr="00E74A46">
        <w:rPr>
          <w:sz w:val="24"/>
          <w:szCs w:val="24"/>
        </w:rPr>
        <w:t>La CNMA se maintient à la sixième place avec 7,8% de parts de marché. Elle demeure leader dans la branche « </w:t>
      </w:r>
      <w:r w:rsidR="004F4AE5">
        <w:rPr>
          <w:sz w:val="24"/>
          <w:szCs w:val="24"/>
        </w:rPr>
        <w:t>r</w:t>
      </w:r>
      <w:r w:rsidRPr="00E74A46">
        <w:rPr>
          <w:sz w:val="24"/>
          <w:szCs w:val="24"/>
        </w:rPr>
        <w:t>isques agricoles » avec 84,</w:t>
      </w:r>
      <w:r w:rsidR="004F4AE5">
        <w:rPr>
          <w:sz w:val="24"/>
          <w:szCs w:val="24"/>
        </w:rPr>
        <w:t>4</w:t>
      </w:r>
      <w:r w:rsidRPr="00E74A46">
        <w:rPr>
          <w:sz w:val="24"/>
          <w:szCs w:val="24"/>
        </w:rPr>
        <w:t xml:space="preserve">% de parts du marché contre 74% en 2010. </w:t>
      </w:r>
    </w:p>
    <w:p w:rsidR="005A005E" w:rsidRPr="008D2996" w:rsidRDefault="00E74A46" w:rsidP="005A005E">
      <w:pPr>
        <w:spacing w:after="100" w:afterAutospacing="1"/>
        <w:rPr>
          <w:sz w:val="24"/>
          <w:szCs w:val="24"/>
        </w:rPr>
      </w:pPr>
      <w:r w:rsidRPr="00E74A46">
        <w:rPr>
          <w:sz w:val="24"/>
          <w:szCs w:val="24"/>
        </w:rPr>
        <w:t xml:space="preserve">La CAGEX, seule compagnie à offrir l’assurance crédit à l’exportation, réalise une évolution de l’ordre </w:t>
      </w:r>
      <w:r w:rsidRPr="00E10333">
        <w:rPr>
          <w:sz w:val="24"/>
          <w:szCs w:val="24"/>
        </w:rPr>
        <w:t>de 11% au cours</w:t>
      </w:r>
      <w:r w:rsidRPr="00E74A46">
        <w:rPr>
          <w:sz w:val="24"/>
          <w:szCs w:val="24"/>
        </w:rPr>
        <w:t xml:space="preserve"> de l’année 2011, elle garde sa place de leader dans la branche « crédit interne » avec un poids de 61,6%.</w:t>
      </w:r>
    </w:p>
    <w:p w:rsidR="005A005E" w:rsidRPr="008D2996" w:rsidRDefault="005A005E" w:rsidP="005A005E">
      <w:pPr>
        <w:spacing w:after="100" w:afterAutospacing="1"/>
        <w:rPr>
          <w:sz w:val="24"/>
          <w:szCs w:val="24"/>
        </w:rPr>
      </w:pPr>
    </w:p>
    <w:p w:rsidR="005A005E" w:rsidRPr="008D2996" w:rsidRDefault="005A005E" w:rsidP="005A005E">
      <w:pPr>
        <w:spacing w:after="100" w:afterAutospacing="1"/>
        <w:rPr>
          <w:sz w:val="24"/>
          <w:szCs w:val="24"/>
        </w:rPr>
      </w:pPr>
    </w:p>
    <w:p w:rsidR="005A005E" w:rsidRPr="008D2996" w:rsidRDefault="003A6049" w:rsidP="005A005E">
      <w:pPr>
        <w:jc w:val="center"/>
      </w:pPr>
      <w:r>
        <w:rPr>
          <w:noProof/>
        </w:rPr>
        <w:lastRenderedPageBreak/>
        <w:drawing>
          <wp:inline distT="0" distB="0" distL="0" distR="0">
            <wp:extent cx="6117830" cy="3219450"/>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cstate="print"/>
                    <a:srcRect/>
                    <a:stretch>
                      <a:fillRect/>
                    </a:stretch>
                  </pic:blipFill>
                  <pic:spPr bwMode="auto">
                    <a:xfrm>
                      <a:off x="0" y="0"/>
                      <a:ext cx="6120130" cy="3220660"/>
                    </a:xfrm>
                    <a:prstGeom prst="rect">
                      <a:avLst/>
                    </a:prstGeom>
                    <a:noFill/>
                    <a:ln w="9525">
                      <a:noFill/>
                      <a:miter lim="800000"/>
                      <a:headEnd/>
                      <a:tailEnd/>
                    </a:ln>
                  </pic:spPr>
                </pic:pic>
              </a:graphicData>
            </a:graphic>
          </wp:inline>
        </w:drawing>
      </w:r>
    </w:p>
    <w:p w:rsidR="005A005E" w:rsidRPr="008D2996" w:rsidRDefault="005A005E" w:rsidP="005A005E">
      <w:pPr>
        <w:ind w:left="-426"/>
      </w:pPr>
    </w:p>
    <w:p w:rsidR="003A6049" w:rsidRDefault="003A6049">
      <w:pPr>
        <w:ind w:left="-426"/>
        <w:jc w:val="center"/>
      </w:pPr>
      <w:r>
        <w:rPr>
          <w:noProof/>
        </w:rPr>
        <w:drawing>
          <wp:inline distT="0" distB="0" distL="0" distR="0">
            <wp:extent cx="6118561" cy="4032250"/>
            <wp:effectExtent l="19050" t="0" r="0" b="0"/>
            <wp:docPr id="4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srcRect/>
                    <a:stretch>
                      <a:fillRect/>
                    </a:stretch>
                  </pic:blipFill>
                  <pic:spPr bwMode="auto">
                    <a:xfrm>
                      <a:off x="0" y="0"/>
                      <a:ext cx="6120130" cy="4033284"/>
                    </a:xfrm>
                    <a:prstGeom prst="rect">
                      <a:avLst/>
                    </a:prstGeom>
                    <a:noFill/>
                    <a:ln w="9525">
                      <a:noFill/>
                      <a:miter lim="800000"/>
                      <a:headEnd/>
                      <a:tailEnd/>
                    </a:ln>
                  </pic:spPr>
                </pic:pic>
              </a:graphicData>
            </a:graphic>
          </wp:inline>
        </w:drawing>
      </w:r>
    </w:p>
    <w:p w:rsidR="005A005E" w:rsidRPr="008D2996" w:rsidRDefault="005A005E" w:rsidP="005A005E">
      <w:pPr>
        <w:ind w:left="-426"/>
      </w:pPr>
    </w:p>
    <w:p w:rsidR="005A005E" w:rsidRPr="008D2996" w:rsidRDefault="005A005E" w:rsidP="005A005E">
      <w:pPr>
        <w:spacing w:after="200" w:line="276" w:lineRule="auto"/>
        <w:jc w:val="left"/>
      </w:pPr>
    </w:p>
    <w:p w:rsidR="005A005E" w:rsidRPr="008D2996" w:rsidRDefault="005A005E" w:rsidP="005A005E">
      <w:pPr>
        <w:ind w:left="-426"/>
        <w:jc w:val="center"/>
      </w:pPr>
    </w:p>
    <w:p w:rsidR="006D752B" w:rsidRDefault="003A6049">
      <w:pPr>
        <w:ind w:left="-426"/>
      </w:pPr>
      <w:r>
        <w:rPr>
          <w:noProof/>
        </w:rPr>
        <w:lastRenderedPageBreak/>
        <w:drawing>
          <wp:inline distT="0" distB="0" distL="0" distR="0">
            <wp:extent cx="6026150" cy="2762250"/>
            <wp:effectExtent l="19050" t="0" r="0" b="0"/>
            <wp:docPr id="4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6027930" cy="2763066"/>
                    </a:xfrm>
                    <a:prstGeom prst="rect">
                      <a:avLst/>
                    </a:prstGeom>
                    <a:noFill/>
                    <a:ln w="9525">
                      <a:noFill/>
                      <a:miter lim="800000"/>
                      <a:headEnd/>
                      <a:tailEnd/>
                    </a:ln>
                  </pic:spPr>
                </pic:pic>
              </a:graphicData>
            </a:graphic>
          </wp:inline>
        </w:drawing>
      </w:r>
    </w:p>
    <w:p w:rsidR="005A005E" w:rsidRPr="008D2996" w:rsidRDefault="005A005E" w:rsidP="005A005E">
      <w:pPr>
        <w:ind w:left="-426"/>
        <w:jc w:val="center"/>
      </w:pPr>
    </w:p>
    <w:p w:rsidR="005A005E" w:rsidRPr="008D2996" w:rsidRDefault="00E74A46" w:rsidP="00B73D88">
      <w:pPr>
        <w:pStyle w:val="Titre"/>
        <w:ind w:left="-426"/>
        <w:jc w:val="both"/>
        <w:outlineLvl w:val="0"/>
        <w:rPr>
          <w:color w:val="000000"/>
        </w:rPr>
      </w:pPr>
      <w:r w:rsidRPr="00E74A46">
        <w:t xml:space="preserve"> </w:t>
      </w:r>
      <w:bookmarkStart w:id="637" w:name="_Toc326156036"/>
      <w:bookmarkStart w:id="638" w:name="_Toc327916576"/>
      <w:r w:rsidRPr="00E74A46">
        <w:rPr>
          <w:color w:val="000000"/>
        </w:rPr>
        <w:t>Position macroéconomique du secteur</w:t>
      </w:r>
      <w:bookmarkEnd w:id="637"/>
      <w:bookmarkEnd w:id="638"/>
      <w:r w:rsidRPr="00E74A46">
        <w:rPr>
          <w:color w:val="000000"/>
        </w:rPr>
        <w:t xml:space="preserve"> </w:t>
      </w:r>
    </w:p>
    <w:p w:rsidR="005A005E" w:rsidRPr="008D2996" w:rsidRDefault="00E74A46" w:rsidP="005A005E">
      <w:pPr>
        <w:pStyle w:val="Titre2"/>
      </w:pPr>
      <w:bookmarkStart w:id="639" w:name="_Toc326156037"/>
      <w:bookmarkStart w:id="640" w:name="_Toc327883470"/>
      <w:bookmarkStart w:id="641" w:name="_Toc327883650"/>
      <w:bookmarkStart w:id="642" w:name="_Toc327883997"/>
      <w:bookmarkStart w:id="643" w:name="_Toc327885065"/>
      <w:bookmarkStart w:id="644" w:name="_Toc327885650"/>
      <w:bookmarkStart w:id="645" w:name="_Toc327916577"/>
      <w:r w:rsidRPr="00E74A46">
        <w:t>taux de pénétration</w:t>
      </w:r>
      <w:bookmarkEnd w:id="639"/>
      <w:bookmarkEnd w:id="640"/>
      <w:bookmarkEnd w:id="641"/>
      <w:bookmarkEnd w:id="642"/>
      <w:bookmarkEnd w:id="643"/>
      <w:bookmarkEnd w:id="644"/>
      <w:bookmarkEnd w:id="645"/>
    </w:p>
    <w:p w:rsidR="005A005E" w:rsidRPr="008D2996" w:rsidRDefault="00E74A46" w:rsidP="005D4841">
      <w:pPr>
        <w:rPr>
          <w:color w:val="0000FF"/>
          <w:sz w:val="20"/>
          <w:szCs w:val="20"/>
        </w:rPr>
      </w:pPr>
      <w:r w:rsidRPr="00E74A46">
        <w:t>Selon les estimations</w:t>
      </w:r>
      <w:r w:rsidRPr="00E74A46">
        <w:rPr>
          <w:rStyle w:val="Appelnotedebasdep"/>
        </w:rPr>
        <w:footnoteReference w:id="18"/>
      </w:r>
      <w:r w:rsidRPr="00E74A46">
        <w:t xml:space="preserve">, le </w:t>
      </w:r>
      <w:r w:rsidR="006941BC">
        <w:t>PIB</w:t>
      </w:r>
      <w:r w:rsidRPr="00E74A46">
        <w:t xml:space="preserve"> passerait de 12</w:t>
      </w:r>
      <w:r w:rsidR="006941BC">
        <w:t> </w:t>
      </w:r>
      <w:r w:rsidRPr="00E74A46">
        <w:t>049</w:t>
      </w:r>
      <w:r w:rsidR="006941BC">
        <w:t>,</w:t>
      </w:r>
      <w:r w:rsidRPr="00E74A46">
        <w:t xml:space="preserve">5 </w:t>
      </w:r>
      <w:r w:rsidR="009135A6">
        <w:t>milliard</w:t>
      </w:r>
      <w:r w:rsidRPr="00E74A46">
        <w:t xml:space="preserve"> de dinars en 2010 à 13 849,5 </w:t>
      </w:r>
      <w:r w:rsidR="009135A6">
        <w:t>milliard</w:t>
      </w:r>
      <w:r w:rsidRPr="00E74A46">
        <w:t xml:space="preserve"> de dinars en 2011, soit une progression de 1</w:t>
      </w:r>
      <w:r w:rsidR="006941BC">
        <w:t>4,9</w:t>
      </w:r>
      <w:r w:rsidRPr="00E74A46">
        <w:t>%.</w:t>
      </w:r>
      <w:r w:rsidR="005D4841">
        <w:rPr>
          <w:color w:val="0000FF"/>
          <w:sz w:val="20"/>
          <w:szCs w:val="20"/>
        </w:rPr>
        <w:t>(</w:t>
      </w:r>
      <w:r w:rsidRPr="00E74A46">
        <w:rPr>
          <w:color w:val="0000FF"/>
          <w:sz w:val="20"/>
          <w:szCs w:val="20"/>
        </w:rPr>
        <w:t>tableau n° 11.06).</w:t>
      </w:r>
    </w:p>
    <w:p w:rsidR="005A005E" w:rsidRPr="008D2996" w:rsidRDefault="00E74A46" w:rsidP="005A005E">
      <w:r w:rsidRPr="00E74A46">
        <w:t xml:space="preserve">A titre de comparaison, la croissance de la production du secteur des assurances </w:t>
      </w:r>
      <w:r w:rsidR="006941BC">
        <w:t>(</w:t>
      </w:r>
      <w:r w:rsidRPr="00E74A46">
        <w:t>hors</w:t>
      </w:r>
      <w:r w:rsidR="006941BC">
        <w:t xml:space="preserve"> </w:t>
      </w:r>
      <w:r w:rsidRPr="00E74A46">
        <w:t>acceptations internationales</w:t>
      </w:r>
      <w:r w:rsidR="006941BC">
        <w:t>)</w:t>
      </w:r>
      <w:r w:rsidRPr="00E74A46">
        <w:t xml:space="preserve"> a, comme nous l’avons vu, connu un rythme moins élevé de 6,7%.</w:t>
      </w:r>
    </w:p>
    <w:p w:rsidR="005A005E" w:rsidRPr="008D2996" w:rsidRDefault="00E74A46" w:rsidP="005A005E">
      <w:r w:rsidRPr="00E74A46">
        <w:t>Cette hausse conjuguée à une hausse plus importante du PIB induit une décroissance du taux de pénétration (production d’assurance rapportée au PIB) qui passerait de 0,67% en 2010 à 0,62 % en 2011.</w:t>
      </w:r>
    </w:p>
    <w:p w:rsidR="005A005E" w:rsidRPr="008D2996" w:rsidRDefault="00E74A46" w:rsidP="005A005E">
      <w:pPr>
        <w:pStyle w:val="Titre2"/>
      </w:pPr>
      <w:bookmarkStart w:id="646" w:name="_Toc326156038"/>
      <w:bookmarkStart w:id="647" w:name="_Toc327883471"/>
      <w:bookmarkStart w:id="648" w:name="_Toc327883651"/>
      <w:bookmarkStart w:id="649" w:name="_Toc327883998"/>
      <w:bookmarkStart w:id="650" w:name="_Toc327885066"/>
      <w:bookmarkStart w:id="651" w:name="_Toc327885651"/>
      <w:bookmarkStart w:id="652" w:name="_Toc327916578"/>
      <w:r w:rsidRPr="00E74A46">
        <w:t>Densité D’ASSURANCE</w:t>
      </w:r>
      <w:bookmarkEnd w:id="646"/>
      <w:bookmarkEnd w:id="647"/>
      <w:bookmarkEnd w:id="648"/>
      <w:bookmarkEnd w:id="649"/>
      <w:bookmarkEnd w:id="650"/>
      <w:bookmarkEnd w:id="651"/>
      <w:bookmarkEnd w:id="652"/>
    </w:p>
    <w:p w:rsidR="005A005E" w:rsidRPr="008D2996" w:rsidRDefault="00E74A46" w:rsidP="005A005E">
      <w:r w:rsidRPr="00E74A46">
        <w:rPr>
          <w:rFonts w:cs="Arial"/>
        </w:rPr>
        <w:t>De façon similaire</w:t>
      </w:r>
      <w:r w:rsidRPr="00E74A46">
        <w:t>, la croissance de la production d’assurance (6,7%) étant plus élevée que celle de la population totale (3</w:t>
      </w:r>
      <w:r w:rsidR="006941BC">
        <w:t>,1</w:t>
      </w:r>
      <w:r w:rsidRPr="00E74A46">
        <w:t>%), elle induit une progression de la densité d’assurance (production d’assurance rapportée à la population totale).</w:t>
      </w:r>
    </w:p>
    <w:p w:rsidR="005A005E" w:rsidRPr="008D2996" w:rsidRDefault="00E74A46" w:rsidP="005D4841">
      <w:r w:rsidRPr="00E74A46">
        <w:t>Ainsi la densité est passée de 2 2</w:t>
      </w:r>
      <w:r w:rsidR="006941BC">
        <w:t>54</w:t>
      </w:r>
      <w:r w:rsidRPr="00E74A46">
        <w:t xml:space="preserve"> dinars de prime par habitant en 2010 à 2 332 dinars en 2011, soit en augmentation de </w:t>
      </w:r>
      <w:r w:rsidR="00C832E0">
        <w:t>3,5</w:t>
      </w:r>
      <w:r w:rsidRPr="00E74A46">
        <w:t xml:space="preserve">% </w:t>
      </w:r>
      <w:r w:rsidRPr="00E74A46">
        <w:rPr>
          <w:color w:val="0000FF"/>
        </w:rPr>
        <w:t>(tableau n° 11.06).</w:t>
      </w:r>
      <w:r w:rsidRPr="00E74A46">
        <w:t xml:space="preserve"> Exprimée en dollars, elle est de 30,</w:t>
      </w:r>
      <w:r w:rsidR="00C832E0">
        <w:t>3</w:t>
      </w:r>
      <w:r w:rsidRPr="00E74A46">
        <w:t xml:space="preserve"> USD par habitant en 2010 contre 32</w:t>
      </w:r>
      <w:r w:rsidR="00C832E0">
        <w:t xml:space="preserve">,0 </w:t>
      </w:r>
      <w:r w:rsidRPr="00E74A46">
        <w:t>USD en 2011.</w:t>
      </w:r>
    </w:p>
    <w:p w:rsidR="005A005E" w:rsidRPr="008D2996" w:rsidRDefault="003A6049" w:rsidP="005A005E">
      <w:r>
        <w:rPr>
          <w:noProof/>
        </w:rPr>
        <w:lastRenderedPageBreak/>
        <w:drawing>
          <wp:inline distT="0" distB="0" distL="0" distR="0">
            <wp:extent cx="6119016" cy="3994150"/>
            <wp:effectExtent l="19050" t="0" r="0" b="0"/>
            <wp:docPr id="23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srcRect/>
                    <a:stretch>
                      <a:fillRect/>
                    </a:stretch>
                  </pic:blipFill>
                  <pic:spPr bwMode="auto">
                    <a:xfrm>
                      <a:off x="0" y="0"/>
                      <a:ext cx="6120130" cy="3994877"/>
                    </a:xfrm>
                    <a:prstGeom prst="rect">
                      <a:avLst/>
                    </a:prstGeom>
                    <a:noFill/>
                    <a:ln w="9525">
                      <a:noFill/>
                      <a:miter lim="800000"/>
                      <a:headEnd/>
                      <a:tailEnd/>
                    </a:ln>
                  </pic:spPr>
                </pic:pic>
              </a:graphicData>
            </a:graphic>
          </wp:inline>
        </w:drawing>
      </w:r>
    </w:p>
    <w:p w:rsidR="005A005E" w:rsidRPr="008D2996" w:rsidRDefault="005A005E" w:rsidP="005A005E">
      <w:pPr>
        <w:pStyle w:val="Titre"/>
        <w:spacing w:after="0" w:line="240" w:lineRule="auto"/>
        <w:ind w:left="-426"/>
        <w:jc w:val="left"/>
        <w:rPr>
          <w:color w:val="000000"/>
        </w:rPr>
      </w:pPr>
    </w:p>
    <w:p w:rsidR="005A005E" w:rsidRPr="008D2996" w:rsidRDefault="005A005E" w:rsidP="005A005E">
      <w:pPr>
        <w:pStyle w:val="Titre"/>
        <w:spacing w:after="0" w:line="240" w:lineRule="auto"/>
        <w:ind w:left="-426"/>
        <w:jc w:val="left"/>
        <w:rPr>
          <w:color w:val="000000"/>
        </w:rPr>
      </w:pPr>
    </w:p>
    <w:p w:rsidR="00B02D1E" w:rsidRPr="008D2996" w:rsidRDefault="003A6049">
      <w:pPr>
        <w:spacing w:after="0" w:line="240" w:lineRule="auto"/>
        <w:jc w:val="left"/>
        <w:rPr>
          <w:rFonts w:cs="Verdana"/>
          <w:sz w:val="23"/>
          <w:szCs w:val="23"/>
          <w:highlight w:val="yellow"/>
        </w:rPr>
      </w:pPr>
      <w:r>
        <w:rPr>
          <w:noProof/>
          <w:szCs w:val="23"/>
        </w:rPr>
        <w:drawing>
          <wp:inline distT="0" distB="0" distL="0" distR="0">
            <wp:extent cx="6120130" cy="2527132"/>
            <wp:effectExtent l="19050" t="0" r="0" b="0"/>
            <wp:docPr id="3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6120130" cy="2527132"/>
                    </a:xfrm>
                    <a:prstGeom prst="rect">
                      <a:avLst/>
                    </a:prstGeom>
                    <a:noFill/>
                    <a:ln w="9525">
                      <a:noFill/>
                      <a:miter lim="800000"/>
                      <a:headEnd/>
                      <a:tailEnd/>
                    </a:ln>
                  </pic:spPr>
                </pic:pic>
              </a:graphicData>
            </a:graphic>
          </wp:inline>
        </w:drawing>
      </w:r>
    </w:p>
    <w:p w:rsidR="00287A7E" w:rsidRPr="008D2996" w:rsidRDefault="00287A7E" w:rsidP="00287A7E">
      <w:pPr>
        <w:pStyle w:val="Corpsdetexte2"/>
        <w:spacing w:before="60" w:after="60"/>
        <w:jc w:val="center"/>
        <w:rPr>
          <w:rFonts w:ascii="Trebuchet MS" w:hAnsi="Trebuchet MS"/>
          <w:highlight w:val="yellow"/>
        </w:rPr>
      </w:pPr>
    </w:p>
    <w:bookmarkEnd w:id="197"/>
    <w:p w:rsidR="00E47D96" w:rsidRPr="008D2996" w:rsidRDefault="00E47D96" w:rsidP="009C2C93">
      <w:pPr>
        <w:pStyle w:val="Titre"/>
        <w:spacing w:before="60" w:after="60" w:line="288" w:lineRule="auto"/>
        <w:ind w:left="567"/>
        <w:rPr>
          <w:color w:val="000000"/>
          <w:highlight w:val="yellow"/>
        </w:rPr>
      </w:pPr>
    </w:p>
    <w:p w:rsidR="00CD7122" w:rsidRDefault="00CD7122">
      <w:pPr>
        <w:rPr>
          <w:b/>
          <w:bCs/>
          <w:caps/>
          <w:color w:val="000000"/>
          <w:sz w:val="28"/>
          <w:szCs w:val="28"/>
        </w:rPr>
      </w:pPr>
    </w:p>
    <w:p w:rsidR="00CD7122" w:rsidRDefault="00CD7122">
      <w:pPr>
        <w:rPr>
          <w:b/>
          <w:bCs/>
          <w:caps/>
          <w:color w:val="000000"/>
          <w:sz w:val="28"/>
          <w:szCs w:val="28"/>
        </w:rPr>
      </w:pPr>
    </w:p>
    <w:p w:rsidR="00CD7122" w:rsidRDefault="00CD7122">
      <w:pPr>
        <w:rPr>
          <w:b/>
          <w:bCs/>
          <w:caps/>
          <w:color w:val="000000"/>
          <w:sz w:val="28"/>
          <w:szCs w:val="28"/>
        </w:rPr>
      </w:pPr>
    </w:p>
    <w:p w:rsidR="00CD7122" w:rsidRDefault="00CD7122" w:rsidP="00CD7122">
      <w:pPr>
        <w:pStyle w:val="Titre1"/>
        <w:rPr>
          <w:b w:val="0"/>
          <w:bCs w:val="0"/>
          <w:caps w:val="0"/>
          <w:color w:val="000000"/>
        </w:rPr>
      </w:pPr>
      <w:bookmarkStart w:id="653" w:name="_Toc327916579"/>
      <w:r>
        <w:rPr>
          <w:b w:val="0"/>
          <w:bCs w:val="0"/>
          <w:caps w:val="0"/>
          <w:color w:val="000000"/>
        </w:rPr>
        <w:lastRenderedPageBreak/>
        <w:t>Glossaire :</w:t>
      </w:r>
      <w:bookmarkEnd w:id="653"/>
    </w:p>
    <w:p w:rsidR="00CD7122" w:rsidRPr="00C362F4" w:rsidRDefault="00CD7122" w:rsidP="00CD7122">
      <w:pPr>
        <w:autoSpaceDE w:val="0"/>
        <w:autoSpaceDN w:val="0"/>
        <w:adjustRightInd w:val="0"/>
        <w:spacing w:after="0" w:line="240" w:lineRule="auto"/>
        <w:rPr>
          <w:rFonts w:ascii="BookAntiqua" w:hAnsi="BookAntiqua" w:cs="BookAntiqua"/>
          <w:color w:val="231F20"/>
          <w:sz w:val="25"/>
          <w:szCs w:val="25"/>
        </w:rPr>
      </w:pPr>
    </w:p>
    <w:p w:rsidR="00CD7122"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Acceptations (en réassurance) : </w:t>
      </w:r>
      <w:r w:rsidRPr="007B2B48">
        <w:rPr>
          <w:rFonts w:cs="BookAntiqua"/>
          <w:color w:val="231F20"/>
        </w:rPr>
        <w:t>Opérations réalisées par un autre organisme et dont le risque est repris par une institution. L'assureur initial reste responsable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vis-à-vis des assurés des risques qu'il couvre mais l'institution réassureur s'engage au versement des sommes dues conformément au traité de réassurance.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Actifs : </w:t>
      </w:r>
      <w:r w:rsidRPr="007B2B48">
        <w:rPr>
          <w:rFonts w:cs="BookAntiqua"/>
          <w:color w:val="231F20"/>
        </w:rPr>
        <w:t>L’ensemble des biens faisant partie du patrimoine d’une société d’assurance et figurant à l’actif du bilan. Ils sont composés de valeurs mobilières constituées en fonds commun de placement ou en SICAV, d’immobilier sous forme (de propriété d’immeubles).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A.G.A. (Agent Général d’Assurance) : </w:t>
      </w:r>
      <w:r w:rsidRPr="007B2B48">
        <w:rPr>
          <w:rFonts w:cs="BookAntiqua"/>
          <w:color w:val="231F20"/>
        </w:rPr>
        <w:t>L’agent général d’assurance est un intermédiaire mandaté par une ou plusieurs sociétés d’assurances.</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 engage celle-ci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En vendant des contrats d’assurances à ses clients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En recevant le paiement des cotisations d’assurance et aussi les déclarations de sinistre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En versant des indemnités aux assurés à la suite d’un sinistre.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 est dit général car il propose au public tous les contrats d’assurance diffusés par sa société. Il est rémunéré à la commission.</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La société d’assurance est solidaire des actes établis par son agent général à l’occasion de l’exercice de ses fonctions.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Bilan (ou bilan annuel): </w:t>
      </w:r>
      <w:r w:rsidRPr="007B2B48">
        <w:rPr>
          <w:rFonts w:cs="BookAntiqua"/>
          <w:color w:val="231F20"/>
        </w:rPr>
        <w:t>Le bilan constitue l’un des principaux documents comptables (avec le compte de résultat) émis par l’entreprise tant à l’attention de ses dirigeants que de l’Etat et des autres partenaires que sont les actionnaires, et toutes les personnes intéressées.</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L’étude de l’Actif et du Passif du bilan fournit à l’assureur une partie des éléments chiffrés qui lui sont nécessaires et le renseigne quant à la santé économique et financière de l’entreprise assurable.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Catastrophes naturelles (Cat Nat) : </w:t>
      </w:r>
      <w:r w:rsidRPr="007B2B48">
        <w:rPr>
          <w:rFonts w:cs="BookAntiqua"/>
          <w:color w:val="231F20"/>
        </w:rPr>
        <w:t>Se sont les événements naturels imprévisibles, tels que les cyclones, inondations et crues, Mouvements et glissement de terrain, pluies diluviennes ; coulées de boues ; secousses Sismiques etc.</w:t>
      </w:r>
    </w:p>
    <w:p w:rsidR="00CD7122"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Caution : </w:t>
      </w:r>
      <w:r w:rsidRPr="007B2B48">
        <w:rPr>
          <w:rFonts w:cs="BookAntiqua"/>
          <w:color w:val="231F20"/>
        </w:rPr>
        <w:t>Personne physique ou morale qui se porte garante de l’exécution d’une obligation contractée par une autre personne. Garantie d’un engagement.</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Somme déposée et consignée à cet effet.</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Cédante : </w:t>
      </w:r>
      <w:r w:rsidRPr="007B2B48">
        <w:rPr>
          <w:rFonts w:cs="BookAntiqua"/>
          <w:color w:val="231F20"/>
        </w:rPr>
        <w:t>Société ou mutuelle d’assurance ou institution de prévoyance qui cède au réassureur une partie des risques qu’elle a souscrits.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Cession : </w:t>
      </w:r>
      <w:r w:rsidRPr="007B2B48">
        <w:rPr>
          <w:rFonts w:cs="BookAntiqua"/>
          <w:color w:val="231F20"/>
        </w:rPr>
        <w:t>L’opération par laquelle une société transfert à une autre tout ou une partie d’un risque qu’elle à souscrit ou accepté.</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Cession et acceptation sont des lexies de la réassurance.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Commission : </w:t>
      </w:r>
      <w:r w:rsidRPr="007B2B48">
        <w:rPr>
          <w:rFonts w:cs="BookAntiqua"/>
          <w:color w:val="231F20"/>
        </w:rPr>
        <w:t>C’est le pourcentage de la cotisation perçue par tout intermédiaire et qui constitue sa rémunération. L’agent général ou le courtier peuvent être payés à la commission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Lorsque l’affaire est réalisée (au comptant) ou à chaque cotisation honorée (au terme).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Conseil National des Assurances (CNA) : </w:t>
      </w:r>
      <w:r w:rsidRPr="007B2B48">
        <w:rPr>
          <w:rFonts w:cs="BookAntiqua"/>
          <w:color w:val="231F20"/>
        </w:rPr>
        <w:t>Organe consultatif présidé par le Ministre des Finances et consulté sur les questions relatives à l’activité du secteur des assurances. (Voir art.274 de l’Ordonnance 95-07 du 25 janvier 1995).</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lastRenderedPageBreak/>
        <w:t>La composition du Conseil National des Assurances a été modifiée par la Loi 06-04 du 20 février 2006 : Art.276 (Modifié par l’art.61 L 06-04).</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Corps (du navire, d’un avion) : </w:t>
      </w:r>
      <w:r w:rsidRPr="007B2B48">
        <w:rPr>
          <w:rFonts w:cs="BookAntiqua"/>
          <w:color w:val="231F20"/>
        </w:rPr>
        <w:t>c’est la partie matérielle d’un navire ou d’un avion.</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En droit maritime et en assurance maritime, le terme corps désigne le navire ou le bâtiment de mer lui-même, à l’exclusion des personnes et des marchandises transportées.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Courtier : </w:t>
      </w:r>
      <w:r w:rsidRPr="007B2B48">
        <w:rPr>
          <w:rFonts w:cs="BookAntiqua"/>
          <w:color w:val="231F20"/>
        </w:rPr>
        <w:t>Personne qui met en relation deux autres personnes (physiques ou morales) susceptibles d’être intéressées à la même affaire, et de passer un contrat entre elles.</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 perçoit de l’un ou de l’autre contractant une rétribution sous forme d’honoraire ou de commission.</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 Le courtier d’assurance est une personne physique ou morale qui fait profession à son compte de s’entremettre entre les preneurs d’assurance et les sociétés d’assurances, en vue de faire souscrire un contrat d’assurance.</w:t>
      </w:r>
    </w:p>
    <w:p w:rsidR="00CD7122" w:rsidRDefault="00CD7122" w:rsidP="00CD7122">
      <w:pPr>
        <w:autoSpaceDE w:val="0"/>
        <w:autoSpaceDN w:val="0"/>
        <w:adjustRightInd w:val="0"/>
        <w:spacing w:after="0" w:line="240" w:lineRule="auto"/>
        <w:rPr>
          <w:rFonts w:cs="BookAntiqua"/>
          <w:color w:val="231F20"/>
        </w:rPr>
      </w:pPr>
      <w:r w:rsidRPr="007B2B48">
        <w:rPr>
          <w:rFonts w:cs="BookAntiqua"/>
          <w:color w:val="231F20"/>
        </w:rPr>
        <w:t>Le courtier est mandataire de l’assuré et est responsable envers lui. »</w:t>
      </w:r>
    </w:p>
    <w:p w:rsidR="00CD7122" w:rsidRDefault="00CD7122" w:rsidP="00CD7122">
      <w:pPr>
        <w:autoSpaceDE w:val="0"/>
        <w:autoSpaceDN w:val="0"/>
        <w:adjustRightInd w:val="0"/>
        <w:spacing w:after="0" w:line="240" w:lineRule="auto"/>
        <w:rPr>
          <w:rFonts w:cs="BookAntiqua"/>
          <w:color w:val="231F20"/>
        </w:rPr>
      </w:pPr>
    </w:p>
    <w:p w:rsidR="00CD7122" w:rsidRPr="00997E5B" w:rsidRDefault="00CD7122" w:rsidP="00CD7122">
      <w:pPr>
        <w:autoSpaceDE w:val="0"/>
        <w:autoSpaceDN w:val="0"/>
        <w:adjustRightInd w:val="0"/>
        <w:spacing w:after="0" w:line="240" w:lineRule="auto"/>
        <w:rPr>
          <w:rFonts w:cs="BookAntiqua"/>
          <w:color w:val="FF0000"/>
        </w:rPr>
      </w:pPr>
      <w:r w:rsidRPr="00997E5B">
        <w:rPr>
          <w:rFonts w:cs="BookAntiqua"/>
          <w:b/>
          <w:bCs/>
          <w:color w:val="FF0000"/>
        </w:rPr>
        <w:t xml:space="preserve">Densité : </w:t>
      </w:r>
      <w:r w:rsidRPr="00997E5B">
        <w:rPr>
          <w:rFonts w:cs="BookAntiqua"/>
          <w:color w:val="FF0000"/>
        </w:rPr>
        <w:t>c’est</w:t>
      </w:r>
      <w:r w:rsidRPr="00997E5B">
        <w:rPr>
          <w:rFonts w:cs="BookAntiqua"/>
          <w:b/>
          <w:bCs/>
          <w:color w:val="FF0000"/>
        </w:rPr>
        <w:t xml:space="preserve"> </w:t>
      </w:r>
      <w:r w:rsidRPr="00997E5B">
        <w:rPr>
          <w:rFonts w:cs="BookAntiqua"/>
          <w:color w:val="FF0000"/>
        </w:rPr>
        <w:t>le prorata de la production d’assurance sur la population.</w:t>
      </w:r>
    </w:p>
    <w:p w:rsidR="00CD7122" w:rsidRDefault="00CD7122" w:rsidP="00CD7122">
      <w:pPr>
        <w:autoSpaceDE w:val="0"/>
        <w:autoSpaceDN w:val="0"/>
        <w:adjustRightInd w:val="0"/>
        <w:spacing w:after="0" w:line="240" w:lineRule="auto"/>
        <w:rPr>
          <w:rFonts w:cs="BookAntiqua"/>
          <w:color w:val="231F20"/>
        </w:rPr>
      </w:pPr>
    </w:p>
    <w:p w:rsidR="00CD7122" w:rsidRDefault="00CD7122" w:rsidP="00CD7122">
      <w:pPr>
        <w:autoSpaceDE w:val="0"/>
        <w:autoSpaceDN w:val="0"/>
        <w:adjustRightInd w:val="0"/>
        <w:spacing w:after="0" w:line="240" w:lineRule="auto"/>
        <w:rPr>
          <w:rFonts w:ascii="Verdana" w:hAnsi="Verdana"/>
          <w:sz w:val="20"/>
          <w:szCs w:val="20"/>
        </w:rPr>
      </w:pPr>
      <w:r w:rsidRPr="000B7A1E">
        <w:rPr>
          <w:b/>
          <w:bCs/>
        </w:rPr>
        <w:t>Dotation aux amortissements</w:t>
      </w:r>
      <w:r>
        <w:rPr>
          <w:b/>
          <w:bCs/>
        </w:rPr>
        <w:t> </w:t>
      </w:r>
      <w:r w:rsidRPr="001B3F6D">
        <w:rPr>
          <w:rFonts w:cs="BookAntiqua"/>
          <w:color w:val="231F20"/>
        </w:rPr>
        <w:t xml:space="preserve">: c’est la constatation comptable de la </w:t>
      </w:r>
      <w:hyperlink r:id="rId78" w:history="1">
        <w:r w:rsidRPr="001B3F6D">
          <w:rPr>
            <w:rFonts w:cs="BookAntiqua"/>
            <w:color w:val="231F20"/>
          </w:rPr>
          <w:t>dépréciation</w:t>
        </w:r>
      </w:hyperlink>
      <w:r w:rsidRPr="001B3F6D">
        <w:rPr>
          <w:rFonts w:cs="BookAntiqua"/>
          <w:color w:val="231F20"/>
        </w:rPr>
        <w:t xml:space="preserve"> d'un actif</w:t>
      </w:r>
      <w:r>
        <w:rPr>
          <w:rFonts w:ascii="Verdana" w:hAnsi="Verdana"/>
          <w:sz w:val="20"/>
          <w:szCs w:val="20"/>
        </w:rPr>
        <w:t>.</w:t>
      </w:r>
    </w:p>
    <w:p w:rsidR="00CD7122" w:rsidRDefault="00CD7122" w:rsidP="00CD7122">
      <w:pPr>
        <w:autoSpaceDE w:val="0"/>
        <w:autoSpaceDN w:val="0"/>
        <w:adjustRightInd w:val="0"/>
        <w:spacing w:after="0" w:line="240" w:lineRule="auto"/>
        <w:rPr>
          <w:rFonts w:cs="BookAntiqua"/>
          <w:b/>
          <w:bCs/>
          <w:color w:val="231F20"/>
        </w:rPr>
      </w:pPr>
    </w:p>
    <w:p w:rsidR="00CD7122" w:rsidRPr="007B2B48" w:rsidRDefault="00CD7122" w:rsidP="00CD7122">
      <w:pPr>
        <w:autoSpaceDE w:val="0"/>
        <w:autoSpaceDN w:val="0"/>
        <w:adjustRightInd w:val="0"/>
        <w:spacing w:after="0" w:line="240" w:lineRule="auto"/>
        <w:rPr>
          <w:rFonts w:cs="BookAntiqua"/>
          <w:color w:val="231F20"/>
        </w:rPr>
      </w:pPr>
    </w:p>
    <w:p w:rsidR="00CD7122" w:rsidRPr="00B271AA" w:rsidRDefault="00CD7122" w:rsidP="00CD7122">
      <w:pPr>
        <w:autoSpaceDE w:val="0"/>
        <w:autoSpaceDN w:val="0"/>
        <w:adjustRightInd w:val="0"/>
        <w:spacing w:after="0" w:line="240" w:lineRule="auto"/>
        <w:rPr>
          <w:rFonts w:cs="BookAntiqua"/>
          <w:color w:val="231F20"/>
        </w:rPr>
      </w:pPr>
      <w:r w:rsidRPr="00B271AA">
        <w:rPr>
          <w:rFonts w:cs="BookAntiqua-Bold"/>
          <w:b/>
          <w:bCs/>
          <w:color w:val="231F20"/>
        </w:rPr>
        <w:t xml:space="preserve">Facultative (Assurance-) : </w:t>
      </w:r>
      <w:r w:rsidRPr="00B271AA">
        <w:rPr>
          <w:rFonts w:cs="BookAntiqua"/>
          <w:color w:val="231F20"/>
        </w:rPr>
        <w:t>Assurance non obligatoire dont la tarification relève de la compétence des sociétés, mais qui ne peut être appliquée sans l’avis de l’organe de contrôle.</w:t>
      </w:r>
    </w:p>
    <w:p w:rsidR="00CD7122" w:rsidRDefault="00CD7122" w:rsidP="00CD7122">
      <w:pPr>
        <w:autoSpaceDE w:val="0"/>
        <w:autoSpaceDN w:val="0"/>
        <w:adjustRightInd w:val="0"/>
        <w:spacing w:after="0" w:line="240" w:lineRule="auto"/>
        <w:rPr>
          <w:rFonts w:cs="BookAntiqua"/>
          <w:color w:val="231F20"/>
        </w:rPr>
      </w:pPr>
      <w:r w:rsidRPr="00B271AA">
        <w:rPr>
          <w:rFonts w:cs="BookAntiqua-Italic"/>
          <w:i/>
          <w:iCs/>
          <w:color w:val="231F20"/>
        </w:rPr>
        <w:t xml:space="preserve">Exemple : </w:t>
      </w:r>
      <w:r w:rsidRPr="00B271AA">
        <w:rPr>
          <w:rFonts w:cs="BookAntiqua"/>
          <w:color w:val="231F20"/>
        </w:rPr>
        <w:t>on est pas obligé de souscrire une assurance multirisques habitation quand on est propriétaire ou copropriétaire.</w:t>
      </w:r>
    </w:p>
    <w:p w:rsidR="00CD7122" w:rsidRPr="00B271AA" w:rsidRDefault="00CD7122" w:rsidP="00CD7122">
      <w:pPr>
        <w:autoSpaceDE w:val="0"/>
        <w:autoSpaceDN w:val="0"/>
        <w:adjustRightInd w:val="0"/>
        <w:spacing w:after="0" w:line="240" w:lineRule="auto"/>
        <w:rPr>
          <w:rFonts w:cs="BookAntiqua"/>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Facultés : </w:t>
      </w:r>
      <w:r w:rsidRPr="007B2B48">
        <w:rPr>
          <w:rFonts w:cs="BookAntiqua"/>
          <w:color w:val="231F20"/>
        </w:rPr>
        <w:t>Dans le droit maritime et en assurance transport, le terme pluriel « facultés » est utilisé pour désigner les marchandises transportées.</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On appelle facultés maritimes l’ensemble des marchandises transportées par un navire pour les différencier du navire lui-même. Aussi, on retrouve les facultés aériennes (marchandises transportées par voie aérienne) ; les facultés terrestres (marchandises transportées par voie terrestre).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Flotte : </w:t>
      </w:r>
      <w:r w:rsidRPr="007B2B48">
        <w:rPr>
          <w:rFonts w:cs="BookAntiqua"/>
          <w:color w:val="231F20"/>
        </w:rPr>
        <w:t>Ensemble de véhicules (automobile) ou autres moyens de transport (aérien ou maritime) et qui sont assurés par le même contrat.</w:t>
      </w:r>
    </w:p>
    <w:p w:rsidR="00CD7122" w:rsidRPr="007B2B48" w:rsidRDefault="00CD7122" w:rsidP="00CD7122">
      <w:pPr>
        <w:autoSpaceDE w:val="0"/>
        <w:autoSpaceDN w:val="0"/>
        <w:adjustRightInd w:val="0"/>
        <w:spacing w:after="0" w:line="240" w:lineRule="auto"/>
        <w:rPr>
          <w:rFonts w:cs="BookAntiqua"/>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Fonds de Garantie Automobile ou FGA : </w:t>
      </w:r>
      <w:r w:rsidRPr="007B2B48">
        <w:rPr>
          <w:rFonts w:cs="BookAntiqua"/>
          <w:color w:val="231F20"/>
        </w:rPr>
        <w:t>Anciennement appelé (FSI) Fonds Spécial d’Indemnisation.</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 est chargé de supporter tout ou partie des indemnités allouées aux victimes d’accidents corporels ou ayant droit, lorsque ces accidents, ouvrant droit à réparation, ont été causés par des véhicules terrestres à moteur dans le cas ou le responsable des dommages demeure inconnu ou se trouve, au moment de l’accident, déchu de la garantie ou insuffisamment couvert ou non assuré ou se révèle totalement ou partiellement insolvable.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Groupe (Assurance-) : </w:t>
      </w:r>
      <w:r w:rsidRPr="007B2B48">
        <w:rPr>
          <w:rFonts w:cs="BookAntiqua"/>
          <w:color w:val="231F20"/>
        </w:rPr>
        <w:t>Autre dénomination des assurances de groupe, les assurances collectives sont des assurances de personnes qui peuvent comporter, par un seul et même contrat, la couverture d’un certain nombre d’assurés constituant un groupe homogène contre des risques qui dépendent de la durée de la vie humaine (vie, décès, retraite) ainsi que des risques d’incapacité et d’invalidité.</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Indemnisation : </w:t>
      </w:r>
      <w:r w:rsidRPr="007B2B48">
        <w:rPr>
          <w:rFonts w:cs="BookAntiqua"/>
          <w:color w:val="231F20"/>
        </w:rPr>
        <w:t>Action consistant à dédommager une personne du préjudice subi par elle et, par extension, résultat de cette action.</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lastRenderedPageBreak/>
        <w:t>En assurance, l’indemnisation des dommages se fait sous forme de réparation en équivalant (ou en espèces), par l’attribution d’une somme d’argent appelée indemnité.</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Elle peut aussi intervenir sous forme de réparation en nature.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L’indemnisation peut être forfaitaire, elle est calculée à partir de capitaux prédéterminés à la souscription et selon des règles de calcul définies dans le contrat.</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Ou indemnisation en droit commun, déterminée d’après les règles appliquées par les tribunaux en matière de réparation de préjudices corporels.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Intermédiaire (-d’assurance) : </w:t>
      </w:r>
      <w:r w:rsidRPr="007B2B48">
        <w:rPr>
          <w:rFonts w:cs="BookAntiqua"/>
          <w:color w:val="231F20"/>
        </w:rPr>
        <w:t>Les intermédiaires d’assurance, sont les personnes physiques ou morale autorisées à présenter des opérations d’assurance.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Ils sont de deux (02) sortes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Les Agents Généraux (dans la réglementation actuelle il n’est pas prévu des personnes morales)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Les Courtiers (personnes physiques ou morales).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Maritime (assurance-) : </w:t>
      </w:r>
      <w:r w:rsidRPr="007B2B48">
        <w:rPr>
          <w:rFonts w:cs="BookAntiqua"/>
          <w:color w:val="231F20"/>
        </w:rPr>
        <w:t>L’assurance maritime couvre l’ensemble des risques pouvant incomber à l’assuré pendant le transport par mer.</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On garantit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 navire lui- même : assurance corps,</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Les marchandises : assurance facultés.</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Mortalité du bétail (Assurance de -) : </w:t>
      </w:r>
      <w:r w:rsidRPr="007B2B48">
        <w:rPr>
          <w:rFonts w:cs="BookAntiqua"/>
          <w:color w:val="231F20"/>
        </w:rPr>
        <w:t>Cette assurance permet d’indemniser un exploitant agricole en cas de décès des animaux appartenant à son exploitation, consécutive à un accident, à une maladie, à un abattage nécessité par certains accidents, ou ordonné par les autorités lorsque l’animal présente un danger réelle pour la santé de la population.</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Mutuelle : </w:t>
      </w:r>
      <w:r w:rsidRPr="007B2B48">
        <w:rPr>
          <w:rFonts w:cs="BookAntiqua"/>
          <w:color w:val="231F20"/>
        </w:rPr>
        <w:t>Groupement à but non lucratif régie par le code de la mutualité, dans lequel les adhérents arrêtent directement, ou par l’intermédiaire de leur représentant élu, les statuts, le montant des cotisations ainsi que la nature et le montant des prestations qu’ils désirent recevoir.</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Patrimoine (-assuré) : </w:t>
      </w:r>
      <w:r w:rsidRPr="007B2B48">
        <w:rPr>
          <w:rFonts w:cs="BookAntiqua"/>
          <w:color w:val="231F20"/>
        </w:rPr>
        <w:t>Le patrimoine est l’ensemble des biens que possède une personne physique ou morale à un instant donné et qui s’apprécie en termes monétaires et pouvant faire l’objet d’un contrat d’assurance.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Prime : </w:t>
      </w:r>
      <w:r w:rsidRPr="007B2B48">
        <w:rPr>
          <w:rFonts w:cs="BookAntiqua"/>
          <w:color w:val="231F20"/>
        </w:rPr>
        <w:t>la prime ou la cotisation est la somme que paie l’assuré ou le sociétaire au titre de son contrat d’assurance en contrepartie de la garantie du risque couvert.</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Provision (-technique) : </w:t>
      </w:r>
      <w:r w:rsidRPr="007B2B48">
        <w:rPr>
          <w:rFonts w:cs="BookAntiqua"/>
          <w:color w:val="231F20"/>
        </w:rPr>
        <w:t>Engagement constitué, sur le plan financier, par une entreprise en activité.</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Provision (-mathématique) : </w:t>
      </w:r>
      <w:r w:rsidRPr="007B2B48">
        <w:rPr>
          <w:rFonts w:cs="BookAntiqua"/>
          <w:color w:val="231F20"/>
        </w:rPr>
        <w:t>La provision mathématique d’un contrat d’assurance vie est la différence entre les engagements de l’assureur et ceux de l’assuré à un instant donné.</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 xml:space="preserve">Les engagements de l’assuré diminuent d’année en année et seront nuls après paiement de la prime annuelle, au contraire, les engagements de l’assureur croissent d’année en année pour devenir maximaux au terme du contrat.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 montant de la provision mathématique du contrat est inscrit au passif du bilan de l’assureur car elle est considérée appartenir à l’assuré.</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 La provision mathématique est la différence entre les valeurs actuelles des engagements respectivement pris par l’assureur et par l’assuré. »</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Ratio : </w:t>
      </w:r>
      <w:r w:rsidRPr="007B2B48">
        <w:rPr>
          <w:rFonts w:cs="BookAntiqua"/>
          <w:color w:val="231F20"/>
        </w:rPr>
        <w:t>Un ratio est la traduction arithmétique du rapport d’importance existant entre deux quantités ou deux grandeurs. Il s’exprime par un coefficient ou par un pourcentage.</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lastRenderedPageBreak/>
        <w:t xml:space="preserve">Réassurance : </w:t>
      </w:r>
      <w:r w:rsidRPr="007B2B48">
        <w:rPr>
          <w:rFonts w:cs="BookAntiqua"/>
          <w:color w:val="231F20"/>
        </w:rPr>
        <w:t>Opération par laquelle un assureur, le cédant, cède à un autre assureur, le réassureur ou cessionnaire, une partie d’un risque que lui-même a pris en charge en direct. Cette pratique se justifie par le désir de limiter les risques auquel l’assureur s’expose et d’éviter qu’un sinistre dont l’ampleur serait catastrophique ne le conduise à la ruine. L’existence du réassureur n’est pas connue des assurés et l’assureur reste seul responsable à leur égard.</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L’assureur et le réassureur sont liés par un contrat, ou traité de réassurance, par lequel le cédant cède une partie de ses primes au cessionnaire, à charge pour lui de payer une partie des sinistres.</w:t>
      </w:r>
    </w:p>
    <w:p w:rsidR="00CD7122" w:rsidRPr="007B2B48" w:rsidRDefault="00CD7122" w:rsidP="00CD7122">
      <w:pPr>
        <w:autoSpaceDE w:val="0"/>
        <w:autoSpaceDN w:val="0"/>
        <w:adjustRightInd w:val="0"/>
        <w:spacing w:after="0" w:line="240" w:lineRule="auto"/>
        <w:rPr>
          <w:rFonts w:cs="BookAntiqua"/>
          <w:color w:val="231F20"/>
        </w:rPr>
      </w:pP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Rétention : </w:t>
      </w:r>
      <w:r w:rsidRPr="007B2B48">
        <w:rPr>
          <w:rFonts w:cs="BookAntiqua"/>
          <w:color w:val="231F20"/>
        </w:rPr>
        <w:t>Terme de réassurance. La rétention correspond à la part du risque que l’assureur ou le réassureur conserve pour son propre compte et qu’il ne cède pas à un réassureur.</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Rétrocession : </w:t>
      </w:r>
      <w:r w:rsidRPr="007B2B48">
        <w:rPr>
          <w:rFonts w:cs="BookAntiqua"/>
          <w:color w:val="231F20"/>
        </w:rPr>
        <w:t>Terme de réassurance. C’est la cession par un réassureur (ou rétrocédant), moyennant une prime de rétrocession à un autre réassureur (ou rétrocessionnaire), d’une fraction des risques qu’il s’est engagé à garantir.</w:t>
      </w:r>
    </w:p>
    <w:p w:rsidR="00CD7122" w:rsidRPr="007B2B48" w:rsidRDefault="00CD7122" w:rsidP="00CD7122">
      <w:pPr>
        <w:autoSpaceDE w:val="0"/>
        <w:autoSpaceDN w:val="0"/>
        <w:adjustRightInd w:val="0"/>
        <w:spacing w:after="0" w:line="240" w:lineRule="auto"/>
        <w:rPr>
          <w:rFonts w:cs="BookAntiqua"/>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Sinistralité : </w:t>
      </w:r>
      <w:r w:rsidRPr="007B2B48">
        <w:rPr>
          <w:rFonts w:cs="BookAntiqua"/>
          <w:color w:val="231F20"/>
        </w:rPr>
        <w:t>Ensemble des sinistres, c’est-à-dire des évènements qui ont fait jouer les garanties du contrat, qu’a subis l’assuré depuis le début de sa vie « d’assuré ».</w:t>
      </w: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Sinistre : </w:t>
      </w:r>
      <w:r w:rsidRPr="007B2B48">
        <w:rPr>
          <w:rFonts w:cs="BookAntiqua"/>
          <w:color w:val="231F20"/>
        </w:rPr>
        <w:t>Un sinistre signifie la survenance ou la réalisation d’un évènement aléatoire susceptible d’entraîner l’exécution d’une garantie prévue dans un contrat d’assurance.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Il suppose, l’existence d’un fait dommageable (un incendie, un vol, un dégât des eaux, un décès, une atteinte corporelle, etc.)</w:t>
      </w:r>
    </w:p>
    <w:p w:rsidR="00CD7122" w:rsidRPr="007B2B48" w:rsidRDefault="00CD7122" w:rsidP="00CD7122">
      <w:pPr>
        <w:autoSpaceDE w:val="0"/>
        <w:autoSpaceDN w:val="0"/>
        <w:adjustRightInd w:val="0"/>
        <w:spacing w:after="0" w:line="240" w:lineRule="auto"/>
        <w:rPr>
          <w:rFonts w:cs="BookAntiqua"/>
          <w:color w:val="231F20"/>
        </w:rPr>
      </w:pPr>
    </w:p>
    <w:p w:rsidR="00CD7122" w:rsidRPr="007B2B48" w:rsidRDefault="00CD7122" w:rsidP="00CD7122">
      <w:pPr>
        <w:autoSpaceDE w:val="0"/>
        <w:autoSpaceDN w:val="0"/>
        <w:adjustRightInd w:val="0"/>
        <w:spacing w:after="0" w:line="240" w:lineRule="auto"/>
        <w:rPr>
          <w:rFonts w:cs="BookAntiqua-Bold"/>
          <w:b/>
          <w:bCs/>
          <w:color w:val="231F20"/>
        </w:rPr>
      </w:pP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Bold"/>
          <w:b/>
          <w:bCs/>
          <w:color w:val="231F20"/>
        </w:rPr>
        <w:t xml:space="preserve">Solvabilité : </w:t>
      </w:r>
      <w:r w:rsidRPr="007B2B48">
        <w:rPr>
          <w:rFonts w:cs="BookAntiqua"/>
          <w:color w:val="231F20"/>
        </w:rPr>
        <w:t>Situation d’une personne physique ou morale qui se trouve en mesure de faire face à des engagements, en honorant ses dettes ou en exécutant les condamnations prononcées contre elle.</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Cette notion est fondamentale en assurance :</w:t>
      </w:r>
    </w:p>
    <w:p w:rsidR="00CD7122" w:rsidRPr="007B2B48" w:rsidRDefault="00CD7122" w:rsidP="00CD7122">
      <w:pPr>
        <w:autoSpaceDE w:val="0"/>
        <w:autoSpaceDN w:val="0"/>
        <w:adjustRightInd w:val="0"/>
        <w:spacing w:after="0" w:line="240" w:lineRule="auto"/>
        <w:rPr>
          <w:rFonts w:cs="BookAntiqua"/>
          <w:color w:val="231F20"/>
        </w:rPr>
      </w:pPr>
      <w:r w:rsidRPr="007B2B48">
        <w:rPr>
          <w:rFonts w:cs="BookAntiqua"/>
          <w:color w:val="231F20"/>
        </w:rPr>
        <w:t>Le fait pour l’assuré de transférer la garantie de ses risques à un assureur a pour effet de le rendre solvable vis-à-vis de ses créanciers (qui peuvent exiger de lui une assurance à cet effet) ou des victimes des dommages qu’il peut causer (celles-ci disposant d’une action directe contre son assureur).</w:t>
      </w:r>
    </w:p>
    <w:p w:rsidR="00CD7122" w:rsidRDefault="00CD7122" w:rsidP="00CD7122">
      <w:pPr>
        <w:autoSpaceDE w:val="0"/>
        <w:autoSpaceDN w:val="0"/>
        <w:adjustRightInd w:val="0"/>
        <w:spacing w:after="0" w:line="240" w:lineRule="auto"/>
        <w:rPr>
          <w:rFonts w:cs="BookAntiqua"/>
          <w:color w:val="231F20"/>
        </w:rPr>
      </w:pPr>
      <w:r w:rsidRPr="007B2B48">
        <w:rPr>
          <w:rFonts w:cs="BookAntiqua"/>
          <w:color w:val="231F20"/>
        </w:rPr>
        <w:t>La solvabilité de l’assureur doit elle-même être assurée par des règles prudentielles, qui lui permettent d’être en mesure de faire face à ses engagements (constitution de provisions techniques réglementées, marge de solvabilité..).</w:t>
      </w:r>
    </w:p>
    <w:p w:rsidR="00CD7122" w:rsidRDefault="00CD7122" w:rsidP="00CD7122">
      <w:pPr>
        <w:autoSpaceDE w:val="0"/>
        <w:autoSpaceDN w:val="0"/>
        <w:adjustRightInd w:val="0"/>
        <w:spacing w:after="0" w:line="240" w:lineRule="auto"/>
        <w:rPr>
          <w:rFonts w:cs="BookAntiqua"/>
          <w:color w:val="231F20"/>
        </w:rPr>
      </w:pPr>
    </w:p>
    <w:p w:rsidR="00CD7122" w:rsidRDefault="00CD7122" w:rsidP="00CD7122">
      <w:pPr>
        <w:autoSpaceDE w:val="0"/>
        <w:autoSpaceDN w:val="0"/>
        <w:adjustRightInd w:val="0"/>
        <w:spacing w:after="0" w:line="240" w:lineRule="auto"/>
        <w:rPr>
          <w:rStyle w:val="st"/>
        </w:rPr>
      </w:pPr>
      <w:r w:rsidRPr="006D69C4">
        <w:rPr>
          <w:rStyle w:val="st"/>
          <w:b/>
          <w:bCs/>
        </w:rPr>
        <w:t>Taux de pénétration :</w:t>
      </w:r>
      <w:r>
        <w:rPr>
          <w:rStyle w:val="st"/>
        </w:rPr>
        <w:t xml:space="preserve"> </w:t>
      </w:r>
      <w:r w:rsidRPr="006D69C4">
        <w:rPr>
          <w:rStyle w:val="st"/>
        </w:rPr>
        <w:t>un taux mesurant la couverture du marché par un produit ou service donné.</w:t>
      </w:r>
    </w:p>
    <w:p w:rsidR="00CD7122" w:rsidRDefault="00CD7122" w:rsidP="00CD7122">
      <w:pPr>
        <w:autoSpaceDE w:val="0"/>
        <w:autoSpaceDN w:val="0"/>
        <w:adjustRightInd w:val="0"/>
        <w:spacing w:after="0" w:line="240" w:lineRule="auto"/>
        <w:rPr>
          <w:rStyle w:val="st"/>
        </w:rPr>
      </w:pPr>
    </w:p>
    <w:p w:rsidR="00CD7122" w:rsidRDefault="00CD7122" w:rsidP="00CD7122">
      <w:pPr>
        <w:autoSpaceDE w:val="0"/>
        <w:autoSpaceDN w:val="0"/>
        <w:adjustRightInd w:val="0"/>
        <w:spacing w:after="0" w:line="240" w:lineRule="auto"/>
        <w:rPr>
          <w:rStyle w:val="st"/>
        </w:rPr>
      </w:pPr>
      <w:r w:rsidRPr="00580FC0">
        <w:rPr>
          <w:rStyle w:val="st"/>
          <w:b/>
          <w:bCs/>
        </w:rPr>
        <w:t>Valeurs ajoutée :</w:t>
      </w:r>
      <w:r>
        <w:rPr>
          <w:rStyle w:val="st"/>
        </w:rPr>
        <w:t xml:space="preserve"> </w:t>
      </w:r>
      <w:r w:rsidRPr="00580FC0">
        <w:rPr>
          <w:rStyle w:val="st"/>
        </w:rPr>
        <w:t>le supplément de valeur donné par l'entreprise, dans son activité, aux biens et aux services en provenance des tiers. Elle est égale à la somme de la Marge commerciale et de la marge sur consommation de matières, diminuée des consommations de biens et de services en provenance des tiers. La valeur ajoutée est utile pour caricaturer un secteur et constitue une mesure de l'intégration de l'entreprise dans son secteur.</w:t>
      </w:r>
    </w:p>
    <w:p w:rsidR="00CD7122" w:rsidRDefault="00CD7122" w:rsidP="00CD7122">
      <w:pPr>
        <w:autoSpaceDE w:val="0"/>
        <w:autoSpaceDN w:val="0"/>
        <w:adjustRightInd w:val="0"/>
        <w:spacing w:after="0" w:line="240" w:lineRule="auto"/>
        <w:rPr>
          <w:rStyle w:val="st"/>
        </w:rPr>
      </w:pPr>
    </w:p>
    <w:p w:rsidR="00C535F9" w:rsidRPr="008D2996" w:rsidRDefault="00C535F9">
      <w:pPr>
        <w:rPr>
          <w:b/>
          <w:bCs/>
          <w:caps/>
          <w:color w:val="000000"/>
          <w:sz w:val="28"/>
          <w:szCs w:val="28"/>
        </w:rPr>
      </w:pPr>
    </w:p>
    <w:sectPr w:rsidR="00C535F9" w:rsidRPr="008D2996" w:rsidSect="00897A9E">
      <w:footnotePr>
        <w:numRestart w:val="eachPage"/>
      </w:footnotePr>
      <w:type w:val="nextColumn"/>
      <w:pgSz w:w="11906" w:h="16838" w:code="9"/>
      <w:pgMar w:top="1871" w:right="1134" w:bottom="130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BBD" w:rsidRDefault="00061BBD">
      <w:pPr>
        <w:rPr>
          <w:sz w:val="18"/>
          <w:szCs w:val="18"/>
        </w:rPr>
      </w:pPr>
      <w:r>
        <w:rPr>
          <w:sz w:val="18"/>
          <w:szCs w:val="18"/>
        </w:rPr>
        <w:separator/>
      </w:r>
    </w:p>
    <w:p w:rsidR="00061BBD" w:rsidRDefault="00061BBD"/>
  </w:endnote>
  <w:endnote w:type="continuationSeparator" w:id="1">
    <w:p w:rsidR="00061BBD" w:rsidRDefault="00061BBD">
      <w:pPr>
        <w:rPr>
          <w:sz w:val="18"/>
          <w:szCs w:val="18"/>
        </w:rPr>
      </w:pPr>
      <w:r>
        <w:rPr>
          <w:sz w:val="18"/>
          <w:szCs w:val="18"/>
        </w:rPr>
        <w:continuationSeparator/>
      </w:r>
    </w:p>
    <w:p w:rsidR="00061BBD" w:rsidRDefault="00061BBD"/>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 w:name="BookAntiqua-Bold">
    <w:panose1 w:val="00000000000000000000"/>
    <w:charset w:val="00"/>
    <w:family w:val="auto"/>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C8" w:rsidRPr="00224A28" w:rsidRDefault="000A21C8" w:rsidP="00E03BDB">
    <w:pPr>
      <w:pStyle w:val="Pieddepage"/>
      <w:ind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C8" w:rsidRPr="00453D1A" w:rsidRDefault="00013D42" w:rsidP="00CE1B70">
    <w:pPr>
      <w:pStyle w:val="Pieddepage"/>
      <w:framePr w:wrap="auto" w:vAnchor="text" w:hAnchor="margin" w:xAlign="outside" w:y="1"/>
      <w:spacing w:after="0" w:line="240" w:lineRule="auto"/>
      <w:ind w:right="357"/>
      <w:jc w:val="center"/>
      <w:rPr>
        <w:rStyle w:val="Numrodepage"/>
        <w:i w:val="0"/>
        <w:iCs w:val="0"/>
        <w:color w:val="134515"/>
        <w:sz w:val="15"/>
        <w:szCs w:val="15"/>
      </w:rPr>
    </w:pPr>
    <w:r w:rsidRPr="00453D1A">
      <w:rPr>
        <w:rStyle w:val="Numrodepage"/>
        <w:i w:val="0"/>
        <w:iCs w:val="0"/>
        <w:color w:val="134515"/>
        <w:sz w:val="15"/>
        <w:szCs w:val="15"/>
      </w:rPr>
      <w:fldChar w:fldCharType="begin"/>
    </w:r>
    <w:r w:rsidR="000A21C8" w:rsidRPr="00453D1A">
      <w:rPr>
        <w:rStyle w:val="Numrodepage"/>
        <w:i w:val="0"/>
        <w:iCs w:val="0"/>
        <w:color w:val="134515"/>
        <w:sz w:val="15"/>
        <w:szCs w:val="15"/>
      </w:rPr>
      <w:instrText xml:space="preserve">PAGE  </w:instrText>
    </w:r>
    <w:r w:rsidRPr="00453D1A">
      <w:rPr>
        <w:rStyle w:val="Numrodepage"/>
        <w:i w:val="0"/>
        <w:iCs w:val="0"/>
        <w:color w:val="134515"/>
        <w:sz w:val="15"/>
        <w:szCs w:val="15"/>
      </w:rPr>
      <w:fldChar w:fldCharType="separate"/>
    </w:r>
    <w:r w:rsidR="00131C27">
      <w:rPr>
        <w:rStyle w:val="Numrodepage"/>
        <w:i w:val="0"/>
        <w:iCs w:val="0"/>
        <w:noProof/>
        <w:color w:val="134515"/>
        <w:sz w:val="15"/>
        <w:szCs w:val="15"/>
      </w:rPr>
      <w:t>59</w:t>
    </w:r>
    <w:r w:rsidRPr="00453D1A">
      <w:rPr>
        <w:rStyle w:val="Numrodepage"/>
        <w:i w:val="0"/>
        <w:iCs w:val="0"/>
        <w:color w:val="134515"/>
        <w:sz w:val="15"/>
        <w:szCs w:val="15"/>
      </w:rPr>
      <w:fldChar w:fldCharType="end"/>
    </w:r>
    <w:r w:rsidR="000A21C8" w:rsidRPr="00453D1A">
      <w:rPr>
        <w:rStyle w:val="Numrodepage"/>
        <w:i w:val="0"/>
        <w:iCs w:val="0"/>
        <w:color w:val="134515"/>
        <w:sz w:val="15"/>
        <w:szCs w:val="15"/>
      </w:rPr>
      <w:t xml:space="preserve"> / </w:t>
    </w:r>
    <w:r w:rsidRPr="00453D1A">
      <w:rPr>
        <w:rStyle w:val="Numrodepage"/>
        <w:color w:val="134515"/>
        <w:sz w:val="15"/>
        <w:szCs w:val="15"/>
      </w:rPr>
      <w:fldChar w:fldCharType="begin"/>
    </w:r>
    <w:r w:rsidR="000A21C8" w:rsidRPr="00453D1A">
      <w:rPr>
        <w:rStyle w:val="Numrodepage"/>
        <w:color w:val="134515"/>
        <w:sz w:val="15"/>
        <w:szCs w:val="15"/>
      </w:rPr>
      <w:instrText xml:space="preserve"> NUMPAGES </w:instrText>
    </w:r>
    <w:r w:rsidRPr="00453D1A">
      <w:rPr>
        <w:rStyle w:val="Numrodepage"/>
        <w:color w:val="134515"/>
        <w:sz w:val="15"/>
        <w:szCs w:val="15"/>
      </w:rPr>
      <w:fldChar w:fldCharType="separate"/>
    </w:r>
    <w:r w:rsidR="00131C27">
      <w:rPr>
        <w:rStyle w:val="Numrodepage"/>
        <w:noProof/>
        <w:color w:val="134515"/>
        <w:sz w:val="15"/>
        <w:szCs w:val="15"/>
      </w:rPr>
      <w:t>90</w:t>
    </w:r>
    <w:r w:rsidRPr="00453D1A">
      <w:rPr>
        <w:rStyle w:val="Numrodepage"/>
        <w:color w:val="134515"/>
        <w:sz w:val="15"/>
        <w:szCs w:val="15"/>
      </w:rPr>
      <w:fldChar w:fldCharType="end"/>
    </w:r>
  </w:p>
  <w:p w:rsidR="000A21C8" w:rsidRDefault="000A21C8" w:rsidP="00453D1A">
    <w:pPr>
      <w:pStyle w:val="Pieddepage"/>
      <w:spacing w:line="240" w:lineRule="auto"/>
      <w:jc w:val="center"/>
    </w:pPr>
    <w:r>
      <w:rPr>
        <w:b/>
        <w:bCs/>
        <w:smallCaps/>
        <w:color w:val="632423"/>
        <w:sz w:val="15"/>
        <w:szCs w:val="15"/>
      </w:rPr>
      <w:t>R</w:t>
    </w:r>
    <w:r w:rsidRPr="00453D1A">
      <w:rPr>
        <w:b/>
        <w:bCs/>
        <w:smallCaps/>
        <w:color w:val="632423"/>
        <w:sz w:val="15"/>
        <w:szCs w:val="15"/>
      </w:rPr>
      <w:t>apport sur la situation générale du secteur des assurances 20</w:t>
    </w:r>
    <w:r>
      <w:rPr>
        <w:b/>
        <w:bCs/>
        <w:smallCaps/>
        <w:color w:val="632423"/>
        <w:sz w:val="15"/>
        <w:szCs w:val="15"/>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BBD" w:rsidRDefault="00061BBD">
      <w:pPr>
        <w:rPr>
          <w:sz w:val="18"/>
          <w:szCs w:val="18"/>
        </w:rPr>
      </w:pPr>
      <w:r>
        <w:rPr>
          <w:sz w:val="18"/>
          <w:szCs w:val="18"/>
        </w:rPr>
        <w:separator/>
      </w:r>
    </w:p>
    <w:p w:rsidR="00061BBD" w:rsidRDefault="00061BBD"/>
  </w:footnote>
  <w:footnote w:type="continuationSeparator" w:id="1">
    <w:p w:rsidR="00061BBD" w:rsidRDefault="00061BBD">
      <w:pPr>
        <w:rPr>
          <w:sz w:val="18"/>
          <w:szCs w:val="18"/>
        </w:rPr>
      </w:pPr>
      <w:r>
        <w:rPr>
          <w:sz w:val="18"/>
          <w:szCs w:val="18"/>
        </w:rPr>
        <w:continuationSeparator/>
      </w:r>
    </w:p>
    <w:p w:rsidR="00061BBD" w:rsidRDefault="00061BBD"/>
  </w:footnote>
  <w:footnote w:id="2">
    <w:p w:rsidR="000A21C8" w:rsidRDefault="000A21C8" w:rsidP="005E002E">
      <w:pPr>
        <w:pStyle w:val="Notedebasdepage"/>
      </w:pPr>
      <w:r>
        <w:rPr>
          <w:rStyle w:val="Appelnotedebasdep"/>
        </w:rPr>
        <w:footnoteRef/>
      </w:r>
      <w:r>
        <w:t xml:space="preserve"> Source : Suisse Ré</w:t>
      </w:r>
    </w:p>
  </w:footnote>
  <w:footnote w:id="3">
    <w:p w:rsidR="000A21C8" w:rsidRDefault="000A21C8" w:rsidP="005E002E">
      <w:pPr>
        <w:pStyle w:val="Notedebasdepage"/>
      </w:pPr>
      <w:r>
        <w:rPr>
          <w:rStyle w:val="Appelnotedebasdep"/>
        </w:rPr>
        <w:footnoteRef/>
      </w:r>
      <w:r>
        <w:t xml:space="preserve"> Source : Suisse Ré</w:t>
      </w:r>
    </w:p>
  </w:footnote>
  <w:footnote w:id="4">
    <w:p w:rsidR="000A21C8" w:rsidRPr="00163E8E" w:rsidRDefault="000A21C8" w:rsidP="005E002E">
      <w:pPr>
        <w:autoSpaceDE w:val="0"/>
        <w:autoSpaceDN w:val="0"/>
        <w:adjustRightInd w:val="0"/>
        <w:spacing w:line="240" w:lineRule="auto"/>
        <w:rPr>
          <w:sz w:val="14"/>
          <w:szCs w:val="14"/>
        </w:rPr>
      </w:pPr>
      <w:r>
        <w:rPr>
          <w:rStyle w:val="Appelnotedebasdep"/>
        </w:rPr>
        <w:footnoteRef/>
      </w:r>
      <w:r w:rsidRPr="00163E8E">
        <w:rPr>
          <w:sz w:val="14"/>
          <w:szCs w:val="14"/>
        </w:rPr>
        <w:t xml:space="preserve"> Le taux de pénétration et la densité des pays du Maghreb sont déterminés à partir du chiffre d’affaire établi dans le rapport annuel (FTUSA pour la Tunisie, ministère de l’économie et des finances pour le Maro</w:t>
      </w:r>
      <w:r>
        <w:rPr>
          <w:sz w:val="14"/>
          <w:szCs w:val="14"/>
        </w:rPr>
        <w:t>c)</w:t>
      </w:r>
      <w:r w:rsidRPr="00163E8E">
        <w:rPr>
          <w:sz w:val="14"/>
          <w:szCs w:val="14"/>
        </w:rPr>
        <w:t>)</w:t>
      </w:r>
    </w:p>
    <w:p w:rsidR="000A21C8" w:rsidRDefault="000A21C8" w:rsidP="005E002E">
      <w:pPr>
        <w:autoSpaceDE w:val="0"/>
        <w:autoSpaceDN w:val="0"/>
        <w:adjustRightInd w:val="0"/>
        <w:spacing w:line="240" w:lineRule="auto"/>
      </w:pPr>
    </w:p>
  </w:footnote>
  <w:footnote w:id="5">
    <w:p w:rsidR="000A21C8" w:rsidRDefault="000A21C8" w:rsidP="00EB1EBD">
      <w:pPr>
        <w:pStyle w:val="Notedebasdepage"/>
      </w:pPr>
      <w:r>
        <w:rPr>
          <w:rStyle w:val="Appelnotedebasdep"/>
        </w:rPr>
        <w:footnoteRef/>
      </w:r>
      <w:r>
        <w:t xml:space="preserve"> Source rapport 2011 SIGMA</w:t>
      </w:r>
    </w:p>
  </w:footnote>
  <w:footnote w:id="6">
    <w:p w:rsidR="000A21C8" w:rsidRDefault="000A21C8" w:rsidP="00EB1EBD">
      <w:pPr>
        <w:pStyle w:val="Notedebasdepage"/>
      </w:pPr>
      <w:r>
        <w:rPr>
          <w:rStyle w:val="Appelnotedebasdep"/>
        </w:rPr>
        <w:footnoteRef/>
      </w:r>
      <w:r>
        <w:t xml:space="preserve"> </w:t>
      </w:r>
      <w:r w:rsidRPr="002C54AE">
        <w:rPr>
          <w:b/>
          <w:bCs/>
          <w:i/>
          <w:iCs/>
        </w:rPr>
        <w:t>Source : Rapport Banque d’Algérie – 2010</w:t>
      </w:r>
    </w:p>
  </w:footnote>
  <w:footnote w:id="7">
    <w:p w:rsidR="000A21C8" w:rsidRDefault="000A21C8" w:rsidP="00EB1EBD">
      <w:pPr>
        <w:pStyle w:val="Notedebasdepage"/>
      </w:pPr>
      <w:r>
        <w:rPr>
          <w:rStyle w:val="Appelnotedebasdep"/>
        </w:rPr>
        <w:footnoteRef/>
      </w:r>
      <w:r>
        <w:t xml:space="preserve"> Source : Rapport 2011 Banque d’Algérie</w:t>
      </w:r>
    </w:p>
  </w:footnote>
  <w:footnote w:id="8">
    <w:p w:rsidR="000A21C8" w:rsidRDefault="000A21C8" w:rsidP="00EB1EBD">
      <w:pPr>
        <w:pStyle w:val="Notedebasdepage"/>
      </w:pPr>
      <w:r>
        <w:rPr>
          <w:rStyle w:val="Appelnotedebasdep"/>
        </w:rPr>
        <w:footnoteRef/>
      </w:r>
      <w:r>
        <w:t xml:space="preserve"> Source : Rapport 2011 Banque d’Algérie</w:t>
      </w:r>
    </w:p>
  </w:footnote>
  <w:footnote w:id="9">
    <w:p w:rsidR="000A21C8" w:rsidRPr="00AC7676" w:rsidRDefault="000A21C8" w:rsidP="00EB1EBD">
      <w:pPr>
        <w:pStyle w:val="Notedebasdepage"/>
      </w:pPr>
      <w:r>
        <w:rPr>
          <w:rStyle w:val="Appelnotedebasdep"/>
        </w:rPr>
        <w:footnoteRef/>
      </w:r>
      <w:r>
        <w:t xml:space="preserve"> </w:t>
      </w:r>
      <w:r w:rsidRPr="00AC7676">
        <w:t>Les</w:t>
      </w:r>
      <w:r>
        <w:t xml:space="preserve"> informations sur les</w:t>
      </w:r>
      <w:r w:rsidRPr="00AC7676">
        <w:t xml:space="preserve"> importations de marchandises </w:t>
      </w:r>
      <w:r>
        <w:t>proviennent</w:t>
      </w:r>
      <w:r w:rsidRPr="00AC7676">
        <w:t xml:space="preserve"> du Centre national de l'informatique et des statistiques (CNIS)</w:t>
      </w:r>
    </w:p>
    <w:p w:rsidR="000A21C8" w:rsidRDefault="000A21C8" w:rsidP="00EB1EBD">
      <w:pPr>
        <w:pStyle w:val="Notedebasdepage"/>
      </w:pPr>
    </w:p>
  </w:footnote>
  <w:footnote w:id="10">
    <w:p w:rsidR="000A21C8" w:rsidRDefault="000A21C8" w:rsidP="00EB1EBD">
      <w:pPr>
        <w:pStyle w:val="Notedebasdepage"/>
      </w:pPr>
      <w:r>
        <w:rPr>
          <w:rStyle w:val="Appelnotedebasdep"/>
        </w:rPr>
        <w:footnoteRef/>
      </w:r>
      <w:r>
        <w:t xml:space="preserve"> </w:t>
      </w:r>
      <w:r w:rsidRPr="009032CD">
        <w:t>publié par le Ministère de l’Habitat </w:t>
      </w:r>
    </w:p>
  </w:footnote>
  <w:footnote w:id="11">
    <w:p w:rsidR="000A21C8" w:rsidRDefault="000A21C8" w:rsidP="00EB1EBD">
      <w:pPr>
        <w:pStyle w:val="Notedebasdepage"/>
      </w:pPr>
      <w:r>
        <w:rPr>
          <w:rStyle w:val="Appelnotedebasdep"/>
        </w:rPr>
        <w:footnoteRef/>
      </w:r>
      <w:r>
        <w:t xml:space="preserve"> SAA, CAAR, CAAT, CNMA et MAATEC</w:t>
      </w:r>
    </w:p>
  </w:footnote>
  <w:footnote w:id="12">
    <w:p w:rsidR="000A21C8" w:rsidRDefault="000A21C8" w:rsidP="00EB1EBD">
      <w:pPr>
        <w:pStyle w:val="Notedebasdepage"/>
      </w:pPr>
      <w:r>
        <w:rPr>
          <w:rStyle w:val="Appelnotedebasdep"/>
        </w:rPr>
        <w:footnoteRef/>
      </w:r>
      <w:r>
        <w:t xml:space="preserve"> SAA, CAAR,  CAAT et CASH. </w:t>
      </w:r>
    </w:p>
  </w:footnote>
  <w:footnote w:id="13">
    <w:p w:rsidR="000A21C8" w:rsidRDefault="000A21C8" w:rsidP="00EB1EBD">
      <w:pPr>
        <w:pStyle w:val="Notedebasdepage"/>
      </w:pPr>
      <w:r>
        <w:rPr>
          <w:rStyle w:val="Appelnotedebasdep"/>
        </w:rPr>
        <w:footnoteRef/>
      </w:r>
      <w:r>
        <w:t xml:space="preserve"> CNMA et MAATEC </w:t>
      </w:r>
    </w:p>
  </w:footnote>
  <w:footnote w:id="14">
    <w:p w:rsidR="000A21C8" w:rsidRDefault="000A21C8">
      <w:pPr>
        <w:pStyle w:val="Notedebasdepage"/>
      </w:pPr>
      <w:r>
        <w:rPr>
          <w:rStyle w:val="Appelnotedebasdep"/>
        </w:rPr>
        <w:footnoteRef/>
      </w:r>
      <w:r>
        <w:t xml:space="preserve"> Office National des Statistiques (ONS).</w:t>
      </w:r>
    </w:p>
  </w:footnote>
  <w:footnote w:id="15">
    <w:p w:rsidR="000A21C8" w:rsidRPr="007158FB" w:rsidRDefault="000A21C8" w:rsidP="00B42C51">
      <w:pPr>
        <w:spacing w:before="120" w:after="0" w:line="240" w:lineRule="auto"/>
        <w:rPr>
          <w:color w:val="000000"/>
          <w:sz w:val="14"/>
          <w:szCs w:val="14"/>
        </w:rPr>
      </w:pPr>
      <w:r>
        <w:rPr>
          <w:rStyle w:val="Appelnotedebasdep"/>
        </w:rPr>
        <w:footnoteRef/>
      </w:r>
      <w:r>
        <w:t xml:space="preserve"> </w:t>
      </w:r>
      <w:r w:rsidRPr="007158FB">
        <w:rPr>
          <w:color w:val="000000"/>
          <w:sz w:val="14"/>
          <w:szCs w:val="14"/>
        </w:rPr>
        <w:t xml:space="preserve">Pour permettre une comparaison cohérente, les primes émises afférentes aux couvertures accidents de travail et santé, qui sont prises en charge par les assurances économiques au Maroc, ont été déduites de la production totale. </w:t>
      </w:r>
    </w:p>
    <w:p w:rsidR="000A21C8" w:rsidRDefault="000A21C8" w:rsidP="00B42C51">
      <w:pPr>
        <w:spacing w:before="120" w:after="0" w:line="240" w:lineRule="auto"/>
      </w:pPr>
    </w:p>
  </w:footnote>
  <w:footnote w:id="16">
    <w:p w:rsidR="000A21C8" w:rsidRDefault="000A21C8" w:rsidP="0086694F">
      <w:pPr>
        <w:pStyle w:val="Notedebasdepage"/>
      </w:pPr>
      <w:r>
        <w:rPr>
          <w:rStyle w:val="Appelnotedebasdep"/>
        </w:rPr>
        <w:footnoteRef/>
      </w:r>
      <w:r>
        <w:t xml:space="preserve"> MEI = Ménages et Entreprises Individuelles</w:t>
      </w:r>
    </w:p>
  </w:footnote>
  <w:footnote w:id="17">
    <w:p w:rsidR="000A21C8" w:rsidRDefault="000A21C8" w:rsidP="00AB4942">
      <w:pPr>
        <w:pStyle w:val="Notedebasdepage"/>
        <w:tabs>
          <w:tab w:val="left" w:pos="2410"/>
          <w:tab w:val="left" w:pos="2835"/>
        </w:tabs>
      </w:pPr>
      <w:r w:rsidRPr="00A25254">
        <w:rPr>
          <w:rStyle w:val="Appelnotedebasdep"/>
          <w:sz w:val="20"/>
          <w:szCs w:val="15"/>
        </w:rPr>
        <w:footnoteRef/>
      </w:r>
      <w:r w:rsidRPr="00A25254">
        <w:rPr>
          <w:sz w:val="18"/>
          <w:szCs w:val="13"/>
        </w:rPr>
        <w:t xml:space="preserve"> L’estimation se base sur un effectif de deux salariés par AGA.</w:t>
      </w:r>
    </w:p>
  </w:footnote>
  <w:footnote w:id="18">
    <w:p w:rsidR="000A21C8" w:rsidRDefault="000A21C8" w:rsidP="005A005E">
      <w:pPr>
        <w:pStyle w:val="Notedebasdepage"/>
      </w:pPr>
      <w:r>
        <w:rPr>
          <w:rStyle w:val="Appelnotedebasdep"/>
        </w:rPr>
        <w:footnoteRef/>
      </w:r>
      <w:r>
        <w:t xml:space="preserve"> Direction Générale de la Prévision et des Politiques.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C8" w:rsidRDefault="000A21C8">
    <w:pPr>
      <w:pStyle w:val="En-tte"/>
    </w:pPr>
    <w:r>
      <w:rPr>
        <w:rFonts w:ascii="Tahoma" w:hAnsi="Tahoma" w:cs="Tahoma"/>
        <w:b/>
        <w:noProof/>
      </w:rPr>
      <w:drawing>
        <wp:inline distT="0" distB="0" distL="0" distR="0">
          <wp:extent cx="6057900" cy="914400"/>
          <wp:effectExtent l="19050" t="0" r="0" b="0"/>
          <wp:docPr id="1" name="Image 56" desc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dessus"/>
                  <pic:cNvPicPr>
                    <a:picLocks noChangeAspect="1" noChangeArrowheads="1"/>
                  </pic:cNvPicPr>
                </pic:nvPicPr>
                <pic:blipFill>
                  <a:blip r:embed="rId1"/>
                  <a:srcRect/>
                  <a:stretch>
                    <a:fillRect/>
                  </a:stretch>
                </pic:blipFill>
                <pic:spPr bwMode="auto">
                  <a:xfrm>
                    <a:off x="0" y="0"/>
                    <a:ext cx="6057900" cy="9144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C8" w:rsidRDefault="000A21C8">
    <w:pPr>
      <w:pStyle w:val="En-tte"/>
    </w:pPr>
    <w:r>
      <w:rPr>
        <w:noProof/>
      </w:rPr>
      <w:drawing>
        <wp:anchor distT="0" distB="0" distL="114300" distR="114300" simplePos="0" relativeHeight="251657728" behindDoc="0" locked="0" layoutInCell="1" allowOverlap="1">
          <wp:simplePos x="0" y="0"/>
          <wp:positionH relativeFrom="column">
            <wp:posOffset>2356358</wp:posOffset>
          </wp:positionH>
          <wp:positionV relativeFrom="paragraph">
            <wp:posOffset>-154940</wp:posOffset>
          </wp:positionV>
          <wp:extent cx="1122172" cy="390779"/>
          <wp:effectExtent l="38100" t="0" r="20828" b="123571"/>
          <wp:wrapNone/>
          <wp:docPr id="2" name="Image 2" descr="CNA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NA .JPG"/>
                  <pic:cNvPicPr/>
                </pic:nvPicPr>
                <pic:blipFill>
                  <a:blip r:embed="rId1"/>
                  <a:stretch>
                    <a:fillRect/>
                  </a:stretch>
                </pic:blipFill>
                <pic:spPr>
                  <a:xfrm>
                    <a:off x="0" y="0"/>
                    <a:ext cx="1122172" cy="390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A21C8" w:rsidRDefault="000A21C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BDC"/>
    <w:multiLevelType w:val="multilevel"/>
    <w:tmpl w:val="82069C70"/>
    <w:lvl w:ilvl="0">
      <w:start w:val="1"/>
      <w:numFmt w:val="bullet"/>
      <w:lvlText w:val=""/>
      <w:lvlJc w:val="left"/>
      <w:pPr>
        <w:tabs>
          <w:tab w:val="num" w:pos="360"/>
        </w:tabs>
        <w:ind w:left="360" w:hanging="360"/>
      </w:pPr>
      <w:rPr>
        <w:rFonts w:ascii="Wingdings" w:hAnsi="Wingdings" w:cs="Wingdings" w:hint="default"/>
        <w:b w:val="0"/>
        <w:bCs w:val="0"/>
        <w:i w:val="0"/>
        <w:iCs w:val="0"/>
        <w:sz w:val="16"/>
        <w:szCs w:val="16"/>
      </w:rPr>
    </w:lvl>
    <w:lvl w:ilvl="1">
      <w:start w:val="1"/>
      <w:numFmt w:val="bullet"/>
      <w:pStyle w:val="puce-1"/>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00322B84"/>
    <w:multiLevelType w:val="hybridMultilevel"/>
    <w:tmpl w:val="AEF45E3E"/>
    <w:lvl w:ilvl="0" w:tplc="A0C090E8">
      <w:numFmt w:val="bullet"/>
      <w:lvlText w:val=""/>
      <w:lvlJc w:val="left"/>
      <w:pPr>
        <w:tabs>
          <w:tab w:val="num" w:pos="1069"/>
        </w:tabs>
        <w:ind w:left="1069" w:hanging="360"/>
      </w:pPr>
      <w:rPr>
        <w:rFonts w:ascii="Wingdings" w:eastAsia="Times New Roman" w:hAnsi="Wingdings" w:cs="Times New Roman" w:hint="default"/>
        <w:b w:val="0"/>
        <w:color w:val="0000FF"/>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
    <w:nsid w:val="06A064AB"/>
    <w:multiLevelType w:val="hybridMultilevel"/>
    <w:tmpl w:val="7ECCC874"/>
    <w:lvl w:ilvl="0" w:tplc="A73A0322">
      <w:start w:val="1"/>
      <w:numFmt w:val="bullet"/>
      <w:lvlText w:val="-"/>
      <w:lvlJc w:val="left"/>
      <w:pPr>
        <w:ind w:left="1065" w:hanging="705"/>
      </w:pPr>
      <w:rPr>
        <w:rFonts w:ascii="Footlight MT Light" w:eastAsia="Times New Roman" w:hAnsi="Footlight MT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D43987"/>
    <w:multiLevelType w:val="hybridMultilevel"/>
    <w:tmpl w:val="BEC88C70"/>
    <w:lvl w:ilvl="0" w:tplc="2416AC36">
      <w:start w:val="1"/>
      <w:numFmt w:val="bullet"/>
      <w:lvlText w:val=""/>
      <w:lvlJc w:val="left"/>
      <w:pPr>
        <w:ind w:left="421" w:hanging="360"/>
      </w:pPr>
      <w:rPr>
        <w:rFonts w:ascii="Symbol" w:hAnsi="Symbol" w:hint="default"/>
        <w:b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E7E63"/>
    <w:multiLevelType w:val="hybridMultilevel"/>
    <w:tmpl w:val="F5208DE6"/>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14E848AC"/>
    <w:multiLevelType w:val="multilevel"/>
    <w:tmpl w:val="62CE07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9730A4B"/>
    <w:multiLevelType w:val="hybridMultilevel"/>
    <w:tmpl w:val="2D04400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1D02166C"/>
    <w:multiLevelType w:val="hybridMultilevel"/>
    <w:tmpl w:val="D97ADA1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610643"/>
    <w:multiLevelType w:val="hybridMultilevel"/>
    <w:tmpl w:val="BA2E0CDC"/>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9">
    <w:nsid w:val="266121ED"/>
    <w:multiLevelType w:val="hybridMultilevel"/>
    <w:tmpl w:val="9D6E21C0"/>
    <w:lvl w:ilvl="0" w:tplc="0A441198">
      <w:start w:val="1"/>
      <w:numFmt w:val="bullet"/>
      <w:lvlText w:val=""/>
      <w:lvlJc w:val="left"/>
      <w:pPr>
        <w:ind w:left="720" w:hanging="360"/>
      </w:pPr>
      <w:rPr>
        <w:rFonts w:ascii="Symbol" w:hAnsi="Symbol" w:cs="Symbol" w:hint="default"/>
        <w:b w:val="0"/>
        <w:bCs w:val="0"/>
        <w:i w:val="0"/>
        <w:iCs w:val="0"/>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F27926"/>
    <w:multiLevelType w:val="hybridMultilevel"/>
    <w:tmpl w:val="997CAE2C"/>
    <w:lvl w:ilvl="0" w:tplc="5EE61010">
      <w:start w:val="1"/>
      <w:numFmt w:val="bullet"/>
      <w:lvlText w:val=""/>
      <w:lvlJc w:val="left"/>
      <w:pPr>
        <w:tabs>
          <w:tab w:val="num" w:pos="360"/>
        </w:tabs>
        <w:ind w:left="360" w:hanging="360"/>
      </w:pPr>
      <w:rPr>
        <w:rFonts w:ascii="Symbol" w:hAnsi="Symbol" w:cs="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1">
    <w:nsid w:val="2927750F"/>
    <w:multiLevelType w:val="hybridMultilevel"/>
    <w:tmpl w:val="0E369832"/>
    <w:lvl w:ilvl="0" w:tplc="EDD46B24">
      <w:numFmt w:val="bullet"/>
      <w:lvlText w:val="-"/>
      <w:lvlJc w:val="left"/>
      <w:pPr>
        <w:tabs>
          <w:tab w:val="num" w:pos="360"/>
        </w:tabs>
        <w:ind w:left="360" w:hanging="360"/>
      </w:pPr>
      <w:rPr>
        <w:rFonts w:ascii="Trebuchet MS" w:eastAsia="Times New Roman" w:hAnsi="Trebuchet MS" w:hint="default"/>
        <w:b/>
        <w:bCs/>
      </w:rPr>
    </w:lvl>
    <w:lvl w:ilvl="1" w:tplc="5D842856">
      <w:numFmt w:val="bullet"/>
      <w:lvlText w:val="-"/>
      <w:lvlJc w:val="left"/>
      <w:pPr>
        <w:tabs>
          <w:tab w:val="num" w:pos="1440"/>
        </w:tabs>
        <w:ind w:left="1440" w:hanging="360"/>
      </w:pPr>
      <w:rPr>
        <w:rFonts w:ascii="Trebuchet MS" w:hAnsi="Trebuchet MS" w:cs="Trebuchet MS" w:hint="default"/>
        <w:b/>
        <w:bCs/>
        <w:color w:val="auto"/>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2">
    <w:nsid w:val="298A47CA"/>
    <w:multiLevelType w:val="hybridMultilevel"/>
    <w:tmpl w:val="BF84BFC0"/>
    <w:lvl w:ilvl="0" w:tplc="040C0013">
      <w:start w:val="1"/>
      <w:numFmt w:val="upperRoman"/>
      <w:lvlText w:val="%1."/>
      <w:lvlJc w:val="right"/>
      <w:pPr>
        <w:ind w:left="832" w:hanging="360"/>
      </w:pPr>
    </w:lvl>
    <w:lvl w:ilvl="1" w:tplc="040C0019" w:tentative="1">
      <w:start w:val="1"/>
      <w:numFmt w:val="lowerLetter"/>
      <w:lvlText w:val="%2."/>
      <w:lvlJc w:val="left"/>
      <w:pPr>
        <w:ind w:left="1552" w:hanging="360"/>
      </w:pPr>
    </w:lvl>
    <w:lvl w:ilvl="2" w:tplc="040C001B" w:tentative="1">
      <w:start w:val="1"/>
      <w:numFmt w:val="lowerRoman"/>
      <w:lvlText w:val="%3."/>
      <w:lvlJc w:val="right"/>
      <w:pPr>
        <w:ind w:left="2272" w:hanging="180"/>
      </w:pPr>
    </w:lvl>
    <w:lvl w:ilvl="3" w:tplc="040C000F" w:tentative="1">
      <w:start w:val="1"/>
      <w:numFmt w:val="decimal"/>
      <w:lvlText w:val="%4."/>
      <w:lvlJc w:val="left"/>
      <w:pPr>
        <w:ind w:left="2992" w:hanging="360"/>
      </w:pPr>
    </w:lvl>
    <w:lvl w:ilvl="4" w:tplc="040C0019" w:tentative="1">
      <w:start w:val="1"/>
      <w:numFmt w:val="lowerLetter"/>
      <w:lvlText w:val="%5."/>
      <w:lvlJc w:val="left"/>
      <w:pPr>
        <w:ind w:left="3712" w:hanging="360"/>
      </w:pPr>
    </w:lvl>
    <w:lvl w:ilvl="5" w:tplc="040C001B" w:tentative="1">
      <w:start w:val="1"/>
      <w:numFmt w:val="lowerRoman"/>
      <w:lvlText w:val="%6."/>
      <w:lvlJc w:val="right"/>
      <w:pPr>
        <w:ind w:left="4432" w:hanging="180"/>
      </w:pPr>
    </w:lvl>
    <w:lvl w:ilvl="6" w:tplc="040C000F" w:tentative="1">
      <w:start w:val="1"/>
      <w:numFmt w:val="decimal"/>
      <w:lvlText w:val="%7."/>
      <w:lvlJc w:val="left"/>
      <w:pPr>
        <w:ind w:left="5152" w:hanging="360"/>
      </w:pPr>
    </w:lvl>
    <w:lvl w:ilvl="7" w:tplc="040C0019" w:tentative="1">
      <w:start w:val="1"/>
      <w:numFmt w:val="lowerLetter"/>
      <w:lvlText w:val="%8."/>
      <w:lvlJc w:val="left"/>
      <w:pPr>
        <w:ind w:left="5872" w:hanging="360"/>
      </w:pPr>
    </w:lvl>
    <w:lvl w:ilvl="8" w:tplc="040C001B" w:tentative="1">
      <w:start w:val="1"/>
      <w:numFmt w:val="lowerRoman"/>
      <w:lvlText w:val="%9."/>
      <w:lvlJc w:val="right"/>
      <w:pPr>
        <w:ind w:left="6592" w:hanging="180"/>
      </w:pPr>
    </w:lvl>
  </w:abstractNum>
  <w:abstractNum w:abstractNumId="13">
    <w:nsid w:val="2C9F1907"/>
    <w:multiLevelType w:val="hybridMultilevel"/>
    <w:tmpl w:val="C310BBD2"/>
    <w:lvl w:ilvl="0" w:tplc="BCACAA56">
      <w:start w:val="1"/>
      <w:numFmt w:val="bullet"/>
      <w:lvlText w:val=""/>
      <w:lvlJc w:val="left"/>
      <w:pPr>
        <w:tabs>
          <w:tab w:val="num" w:pos="360"/>
        </w:tabs>
        <w:ind w:left="360" w:hanging="360"/>
      </w:pPr>
      <w:rPr>
        <w:rFonts w:ascii="Symbol" w:hAnsi="Symbol" w:cs="Symbol" w:hint="default"/>
        <w:color w:val="auto"/>
        <w:u w:val="none"/>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4">
    <w:nsid w:val="2F645C4B"/>
    <w:multiLevelType w:val="hybridMultilevel"/>
    <w:tmpl w:val="DEDADFD6"/>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5">
    <w:nsid w:val="306F5AF1"/>
    <w:multiLevelType w:val="hybridMultilevel"/>
    <w:tmpl w:val="2CCCD9D6"/>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6">
    <w:nsid w:val="32FC2416"/>
    <w:multiLevelType w:val="hybridMultilevel"/>
    <w:tmpl w:val="30CEC536"/>
    <w:lvl w:ilvl="0" w:tplc="040C0001">
      <w:start w:val="1"/>
      <w:numFmt w:val="bullet"/>
      <w:lvlText w:val=""/>
      <w:lvlJc w:val="left"/>
      <w:pPr>
        <w:ind w:left="780" w:hanging="360"/>
      </w:pPr>
      <w:rPr>
        <w:rFonts w:ascii="Symbol" w:hAnsi="Symbol" w:cs="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cs="Wingdings" w:hint="default"/>
      </w:rPr>
    </w:lvl>
    <w:lvl w:ilvl="3" w:tplc="040C0001">
      <w:start w:val="1"/>
      <w:numFmt w:val="bullet"/>
      <w:lvlText w:val=""/>
      <w:lvlJc w:val="left"/>
      <w:pPr>
        <w:ind w:left="2940" w:hanging="360"/>
      </w:pPr>
      <w:rPr>
        <w:rFonts w:ascii="Symbol" w:hAnsi="Symbol" w:cs="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cs="Wingdings" w:hint="default"/>
      </w:rPr>
    </w:lvl>
    <w:lvl w:ilvl="6" w:tplc="040C0001">
      <w:start w:val="1"/>
      <w:numFmt w:val="bullet"/>
      <w:lvlText w:val=""/>
      <w:lvlJc w:val="left"/>
      <w:pPr>
        <w:ind w:left="5100" w:hanging="360"/>
      </w:pPr>
      <w:rPr>
        <w:rFonts w:ascii="Symbol" w:hAnsi="Symbol" w:cs="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cs="Wingdings" w:hint="default"/>
      </w:rPr>
    </w:lvl>
  </w:abstractNum>
  <w:abstractNum w:abstractNumId="17">
    <w:nsid w:val="33297C06"/>
    <w:multiLevelType w:val="hybridMultilevel"/>
    <w:tmpl w:val="A07050A0"/>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8">
    <w:nsid w:val="34985E89"/>
    <w:multiLevelType w:val="hybridMultilevel"/>
    <w:tmpl w:val="1304F56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9">
    <w:nsid w:val="394E2408"/>
    <w:multiLevelType w:val="hybridMultilevel"/>
    <w:tmpl w:val="19703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0B1E42"/>
    <w:multiLevelType w:val="hybridMultilevel"/>
    <w:tmpl w:val="03A2DCCC"/>
    <w:lvl w:ilvl="0" w:tplc="040C0019">
      <w:start w:val="1"/>
      <w:numFmt w:val="lowerLetter"/>
      <w:lvlText w:val="%1."/>
      <w:lvlJc w:val="left"/>
      <w:pPr>
        <w:ind w:left="786" w:hanging="360"/>
      </w:p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21">
    <w:nsid w:val="484C5CF0"/>
    <w:multiLevelType w:val="multilevel"/>
    <w:tmpl w:val="97921FE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485B1AD3"/>
    <w:multiLevelType w:val="hybridMultilevel"/>
    <w:tmpl w:val="AFAC0810"/>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3">
    <w:nsid w:val="4D807010"/>
    <w:multiLevelType w:val="hybridMultilevel"/>
    <w:tmpl w:val="EF10C436"/>
    <w:lvl w:ilvl="0" w:tplc="394EF170">
      <w:numFmt w:val="bullet"/>
      <w:lvlText w:val="-"/>
      <w:lvlJc w:val="left"/>
      <w:pPr>
        <w:ind w:left="720" w:hanging="360"/>
      </w:pPr>
      <w:rPr>
        <w:rFonts w:ascii="Trebuchet MS" w:hAnsi="Trebuchet MS" w:cs="Trebuchet MS" w:hint="default"/>
        <w:b w:val="0"/>
        <w:bCs w:val="0"/>
        <w:i w:val="0"/>
        <w:iCs w:val="0"/>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BD1DE6"/>
    <w:multiLevelType w:val="hybridMultilevel"/>
    <w:tmpl w:val="31B2E05A"/>
    <w:lvl w:ilvl="0" w:tplc="991C3330">
      <w:numFmt w:val="bullet"/>
      <w:lvlText w:val=""/>
      <w:lvlJc w:val="left"/>
      <w:pPr>
        <w:ind w:left="720" w:hanging="360"/>
      </w:pPr>
      <w:rPr>
        <w:rFonts w:ascii="Symbol" w:eastAsia="Times New Roman" w:hAnsi="Symbol"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DE73E8"/>
    <w:multiLevelType w:val="hybridMultilevel"/>
    <w:tmpl w:val="DC1238D0"/>
    <w:lvl w:ilvl="0" w:tplc="040C0019">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
    <w:nsid w:val="4E2F1925"/>
    <w:multiLevelType w:val="multilevel"/>
    <w:tmpl w:val="6396E3B0"/>
    <w:lvl w:ilvl="0">
      <w:start w:val="1"/>
      <w:numFmt w:val="upperRoman"/>
      <w:suff w:val="space"/>
      <w:lvlText w:val="%1."/>
      <w:lvlJc w:val="left"/>
      <w:rPr>
        <w:rFonts w:hint="default"/>
      </w:rPr>
    </w:lvl>
    <w:lvl w:ilvl="1">
      <w:start w:val="1"/>
      <w:numFmt w:val="upperLetter"/>
      <w:lvlText w:val="%2."/>
      <w:lvlJc w:val="left"/>
      <w:pPr>
        <w:tabs>
          <w:tab w:val="num" w:pos="1070"/>
        </w:tabs>
        <w:ind w:left="1070" w:hanging="360"/>
      </w:pPr>
      <w:rPr>
        <w:rFonts w:hint="default"/>
      </w:rPr>
    </w:lvl>
    <w:lvl w:ilvl="2">
      <w:start w:val="1"/>
      <w:numFmt w:val="decimal"/>
      <w:suff w:val="nothing"/>
      <w:lvlText w:val="II-A-%3."/>
      <w:lvlJc w:val="left"/>
      <w:pPr>
        <w:ind w:left="2160" w:hanging="2160"/>
      </w:pPr>
      <w:rPr>
        <w:rFonts w:ascii="Verdana" w:hAnsi="Verdana" w:cs="Verdana" w:hint="default"/>
        <w:b/>
        <w:bCs/>
        <w:i w:val="0"/>
        <w:iCs w:val="0"/>
        <w:sz w:val="24"/>
        <w:szCs w:val="24"/>
      </w:rPr>
    </w:lvl>
    <w:lvl w:ilvl="3">
      <w:start w:val="1"/>
      <w:numFmt w:val="lowerLetter"/>
      <w:lvlText w:val="%4)"/>
      <w:lvlJc w:val="left"/>
      <w:pPr>
        <w:tabs>
          <w:tab w:val="num" w:pos="1070"/>
        </w:tabs>
        <w:ind w:left="710"/>
      </w:pPr>
      <w:rPr>
        <w:rFonts w:hint="default"/>
        <w:b/>
        <w:bCs/>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27">
    <w:nsid w:val="50261668"/>
    <w:multiLevelType w:val="hybridMultilevel"/>
    <w:tmpl w:val="97921FE0"/>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8">
    <w:nsid w:val="55986C01"/>
    <w:multiLevelType w:val="multilevel"/>
    <w:tmpl w:val="12F231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9F73238"/>
    <w:multiLevelType w:val="hybridMultilevel"/>
    <w:tmpl w:val="8872113C"/>
    <w:lvl w:ilvl="0" w:tplc="B2A29C1C">
      <w:numFmt w:val="bullet"/>
      <w:lvlText w:val="-"/>
      <w:lvlJc w:val="left"/>
      <w:pPr>
        <w:tabs>
          <w:tab w:val="num" w:pos="360"/>
        </w:tabs>
        <w:ind w:left="360" w:hanging="360"/>
      </w:pPr>
      <w:rPr>
        <w:rFonts w:ascii="Trebuchet MS" w:hAnsi="Trebuchet MS" w:cs="Trebuchet MS" w:hint="default"/>
        <w:b/>
        <w:bCs/>
        <w:color w:val="auto"/>
        <w:u w:val="none"/>
      </w:rPr>
    </w:lvl>
    <w:lvl w:ilvl="1" w:tplc="5D842856">
      <w:numFmt w:val="bullet"/>
      <w:lvlText w:val="-"/>
      <w:lvlJc w:val="left"/>
      <w:pPr>
        <w:tabs>
          <w:tab w:val="num" w:pos="1440"/>
        </w:tabs>
        <w:ind w:left="1440" w:hanging="360"/>
      </w:pPr>
      <w:rPr>
        <w:rFonts w:ascii="Trebuchet MS" w:hAnsi="Trebuchet MS" w:cs="Trebuchet MS" w:hint="default"/>
        <w:b/>
        <w:bCs/>
        <w:color w:val="auto"/>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30">
    <w:nsid w:val="5A9F508C"/>
    <w:multiLevelType w:val="hybridMultilevel"/>
    <w:tmpl w:val="BD4C912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nsid w:val="5D780066"/>
    <w:multiLevelType w:val="hybridMultilevel"/>
    <w:tmpl w:val="4C26B85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2">
    <w:nsid w:val="5E453884"/>
    <w:multiLevelType w:val="hybridMultilevel"/>
    <w:tmpl w:val="D5B8847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nsid w:val="5FDE07AF"/>
    <w:multiLevelType w:val="hybridMultilevel"/>
    <w:tmpl w:val="F058F8A0"/>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34">
    <w:nsid w:val="69151EE4"/>
    <w:multiLevelType w:val="hybridMultilevel"/>
    <w:tmpl w:val="A210A6EC"/>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35">
    <w:nsid w:val="6A6279F5"/>
    <w:multiLevelType w:val="hybridMultilevel"/>
    <w:tmpl w:val="0D46A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FAD1521"/>
    <w:multiLevelType w:val="hybridMultilevel"/>
    <w:tmpl w:val="99D034F8"/>
    <w:lvl w:ilvl="0" w:tplc="8C1A54F8">
      <w:start w:val="1"/>
      <w:numFmt w:val="bullet"/>
      <w:lvlText w:val=""/>
      <w:lvlJc w:val="left"/>
      <w:pPr>
        <w:tabs>
          <w:tab w:val="num" w:pos="720"/>
        </w:tabs>
        <w:ind w:left="720" w:hanging="360"/>
      </w:pPr>
      <w:rPr>
        <w:rFonts w:ascii="Symbol" w:hAnsi="Symbol" w:cs="Symbol" w:hint="default"/>
        <w:effect w:val="no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7">
    <w:nsid w:val="70315DFC"/>
    <w:multiLevelType w:val="hybridMultilevel"/>
    <w:tmpl w:val="B994F714"/>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38">
    <w:nsid w:val="73F24F77"/>
    <w:multiLevelType w:val="hybridMultilevel"/>
    <w:tmpl w:val="B22E2240"/>
    <w:lvl w:ilvl="0" w:tplc="0A441198">
      <w:start w:val="1"/>
      <w:numFmt w:val="bullet"/>
      <w:lvlText w:val=""/>
      <w:lvlJc w:val="left"/>
      <w:pPr>
        <w:tabs>
          <w:tab w:val="num" w:pos="360"/>
        </w:tabs>
        <w:ind w:left="360" w:hanging="360"/>
      </w:pPr>
      <w:rPr>
        <w:rFonts w:ascii="Symbol" w:hAnsi="Symbol" w:cs="Symbol" w:hint="default"/>
        <w:color w:val="auto"/>
      </w:rPr>
    </w:lvl>
    <w:lvl w:ilvl="1" w:tplc="040C0003">
      <w:start w:val="1"/>
      <w:numFmt w:val="bullet"/>
      <w:lvlText w:val="o"/>
      <w:lvlJc w:val="left"/>
      <w:pPr>
        <w:tabs>
          <w:tab w:val="num" w:pos="723"/>
        </w:tabs>
        <w:ind w:left="723" w:hanging="360"/>
      </w:pPr>
      <w:rPr>
        <w:rFonts w:ascii="Courier New" w:hAnsi="Courier New" w:cs="Courier New" w:hint="default"/>
      </w:rPr>
    </w:lvl>
    <w:lvl w:ilvl="2" w:tplc="040C0005">
      <w:start w:val="1"/>
      <w:numFmt w:val="bullet"/>
      <w:lvlText w:val=""/>
      <w:lvlJc w:val="left"/>
      <w:pPr>
        <w:tabs>
          <w:tab w:val="num" w:pos="1443"/>
        </w:tabs>
        <w:ind w:left="1443" w:hanging="360"/>
      </w:pPr>
      <w:rPr>
        <w:rFonts w:ascii="Wingdings" w:hAnsi="Wingdings" w:cs="Wingdings" w:hint="default"/>
      </w:rPr>
    </w:lvl>
    <w:lvl w:ilvl="3" w:tplc="040C0001">
      <w:start w:val="1"/>
      <w:numFmt w:val="bullet"/>
      <w:lvlText w:val=""/>
      <w:lvlJc w:val="left"/>
      <w:pPr>
        <w:tabs>
          <w:tab w:val="num" w:pos="2163"/>
        </w:tabs>
        <w:ind w:left="2163" w:hanging="360"/>
      </w:pPr>
      <w:rPr>
        <w:rFonts w:ascii="Symbol" w:hAnsi="Symbol" w:cs="Symbol" w:hint="default"/>
      </w:rPr>
    </w:lvl>
    <w:lvl w:ilvl="4" w:tplc="040C0003">
      <w:start w:val="1"/>
      <w:numFmt w:val="bullet"/>
      <w:lvlText w:val="o"/>
      <w:lvlJc w:val="left"/>
      <w:pPr>
        <w:tabs>
          <w:tab w:val="num" w:pos="2883"/>
        </w:tabs>
        <w:ind w:left="2883" w:hanging="360"/>
      </w:pPr>
      <w:rPr>
        <w:rFonts w:ascii="Courier New" w:hAnsi="Courier New" w:cs="Courier New" w:hint="default"/>
      </w:rPr>
    </w:lvl>
    <w:lvl w:ilvl="5" w:tplc="040C0005">
      <w:start w:val="1"/>
      <w:numFmt w:val="bullet"/>
      <w:lvlText w:val=""/>
      <w:lvlJc w:val="left"/>
      <w:pPr>
        <w:tabs>
          <w:tab w:val="num" w:pos="3603"/>
        </w:tabs>
        <w:ind w:left="3603" w:hanging="360"/>
      </w:pPr>
      <w:rPr>
        <w:rFonts w:ascii="Wingdings" w:hAnsi="Wingdings" w:cs="Wingdings" w:hint="default"/>
      </w:rPr>
    </w:lvl>
    <w:lvl w:ilvl="6" w:tplc="040C0001">
      <w:start w:val="1"/>
      <w:numFmt w:val="bullet"/>
      <w:lvlText w:val=""/>
      <w:lvlJc w:val="left"/>
      <w:pPr>
        <w:tabs>
          <w:tab w:val="num" w:pos="4323"/>
        </w:tabs>
        <w:ind w:left="4323" w:hanging="360"/>
      </w:pPr>
      <w:rPr>
        <w:rFonts w:ascii="Symbol" w:hAnsi="Symbol" w:cs="Symbol" w:hint="default"/>
      </w:rPr>
    </w:lvl>
    <w:lvl w:ilvl="7" w:tplc="040C0003">
      <w:start w:val="1"/>
      <w:numFmt w:val="bullet"/>
      <w:lvlText w:val="o"/>
      <w:lvlJc w:val="left"/>
      <w:pPr>
        <w:tabs>
          <w:tab w:val="num" w:pos="5043"/>
        </w:tabs>
        <w:ind w:left="5043" w:hanging="360"/>
      </w:pPr>
      <w:rPr>
        <w:rFonts w:ascii="Courier New" w:hAnsi="Courier New" w:cs="Courier New" w:hint="default"/>
      </w:rPr>
    </w:lvl>
    <w:lvl w:ilvl="8" w:tplc="040C0005">
      <w:start w:val="1"/>
      <w:numFmt w:val="bullet"/>
      <w:lvlText w:val=""/>
      <w:lvlJc w:val="left"/>
      <w:pPr>
        <w:tabs>
          <w:tab w:val="num" w:pos="5763"/>
        </w:tabs>
        <w:ind w:left="5763" w:hanging="360"/>
      </w:pPr>
      <w:rPr>
        <w:rFonts w:ascii="Wingdings" w:hAnsi="Wingdings" w:cs="Wingdings" w:hint="default"/>
      </w:rPr>
    </w:lvl>
  </w:abstractNum>
  <w:abstractNum w:abstractNumId="39">
    <w:nsid w:val="78B21680"/>
    <w:multiLevelType w:val="hybridMultilevel"/>
    <w:tmpl w:val="DD1ACFE6"/>
    <w:lvl w:ilvl="0" w:tplc="8C1A54F8">
      <w:start w:val="1"/>
      <w:numFmt w:val="bullet"/>
      <w:lvlText w:val=""/>
      <w:lvlJc w:val="left"/>
      <w:pPr>
        <w:tabs>
          <w:tab w:val="num" w:pos="360"/>
        </w:tabs>
        <w:ind w:left="360" w:hanging="360"/>
      </w:pPr>
      <w:rPr>
        <w:rFonts w:ascii="Symbol" w:hAnsi="Symbol" w:cs="Symbol" w:hint="default"/>
        <w:effect w:val="none"/>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40">
    <w:nsid w:val="7BBE0278"/>
    <w:multiLevelType w:val="hybridMultilevel"/>
    <w:tmpl w:val="C0203424"/>
    <w:lvl w:ilvl="0" w:tplc="040C0005">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41">
    <w:nsid w:val="7C3004E0"/>
    <w:multiLevelType w:val="hybridMultilevel"/>
    <w:tmpl w:val="79E253AA"/>
    <w:lvl w:ilvl="0" w:tplc="9B86E688">
      <w:start w:val="1"/>
      <w:numFmt w:val="bullet"/>
      <w:pStyle w:val="puce-2"/>
      <w:lvlText w:val=""/>
      <w:lvlJc w:val="left"/>
      <w:pPr>
        <w:tabs>
          <w:tab w:val="num" w:pos="720"/>
        </w:tabs>
        <w:ind w:left="720" w:hanging="360"/>
      </w:pPr>
      <w:rPr>
        <w:rFonts w:ascii="Symbol" w:hAnsi="Symbol" w:cs="Symbol" w:hint="default"/>
        <w:sz w:val="16"/>
        <w:szCs w:val="16"/>
      </w:rPr>
    </w:lvl>
    <w:lvl w:ilvl="1" w:tplc="A4BC6576">
      <w:start w:val="1"/>
      <w:numFmt w:val="bullet"/>
      <w:lvlText w:val="o"/>
      <w:lvlJc w:val="left"/>
      <w:pPr>
        <w:tabs>
          <w:tab w:val="num" w:pos="1440"/>
        </w:tabs>
        <w:ind w:left="1440" w:hanging="360"/>
      </w:pPr>
      <w:rPr>
        <w:rFonts w:ascii="Courier New" w:hAnsi="Courier New" w:cs="Courier New" w:hint="default"/>
      </w:rPr>
    </w:lvl>
    <w:lvl w:ilvl="2" w:tplc="F83CA456">
      <w:start w:val="1"/>
      <w:numFmt w:val="bullet"/>
      <w:lvlText w:val=""/>
      <w:lvlJc w:val="left"/>
      <w:pPr>
        <w:tabs>
          <w:tab w:val="num" w:pos="2160"/>
        </w:tabs>
        <w:ind w:left="2160" w:hanging="360"/>
      </w:pPr>
      <w:rPr>
        <w:rFonts w:ascii="Wingdings" w:hAnsi="Wingdings" w:cs="Wingdings" w:hint="default"/>
      </w:rPr>
    </w:lvl>
    <w:lvl w:ilvl="3" w:tplc="07D017B4">
      <w:start w:val="1"/>
      <w:numFmt w:val="bullet"/>
      <w:lvlText w:val=""/>
      <w:lvlJc w:val="left"/>
      <w:pPr>
        <w:tabs>
          <w:tab w:val="num" w:pos="2880"/>
        </w:tabs>
        <w:ind w:left="2880" w:hanging="360"/>
      </w:pPr>
      <w:rPr>
        <w:rFonts w:ascii="Symbol" w:hAnsi="Symbol" w:cs="Symbol" w:hint="default"/>
      </w:rPr>
    </w:lvl>
    <w:lvl w:ilvl="4" w:tplc="A6CA0A2A">
      <w:start w:val="1"/>
      <w:numFmt w:val="bullet"/>
      <w:lvlText w:val="o"/>
      <w:lvlJc w:val="left"/>
      <w:pPr>
        <w:tabs>
          <w:tab w:val="num" w:pos="3600"/>
        </w:tabs>
        <w:ind w:left="3600" w:hanging="360"/>
      </w:pPr>
      <w:rPr>
        <w:rFonts w:ascii="Courier New" w:hAnsi="Courier New" w:cs="Courier New" w:hint="default"/>
      </w:rPr>
    </w:lvl>
    <w:lvl w:ilvl="5" w:tplc="2B3E6FD0">
      <w:start w:val="1"/>
      <w:numFmt w:val="bullet"/>
      <w:lvlText w:val=""/>
      <w:lvlJc w:val="left"/>
      <w:pPr>
        <w:tabs>
          <w:tab w:val="num" w:pos="4320"/>
        </w:tabs>
        <w:ind w:left="4320" w:hanging="360"/>
      </w:pPr>
      <w:rPr>
        <w:rFonts w:ascii="Wingdings" w:hAnsi="Wingdings" w:cs="Wingdings" w:hint="default"/>
      </w:rPr>
    </w:lvl>
    <w:lvl w:ilvl="6" w:tplc="DD4C2C30">
      <w:start w:val="1"/>
      <w:numFmt w:val="bullet"/>
      <w:lvlText w:val=""/>
      <w:lvlJc w:val="left"/>
      <w:pPr>
        <w:tabs>
          <w:tab w:val="num" w:pos="5040"/>
        </w:tabs>
        <w:ind w:left="5040" w:hanging="360"/>
      </w:pPr>
      <w:rPr>
        <w:rFonts w:ascii="Symbol" w:hAnsi="Symbol" w:cs="Symbol" w:hint="default"/>
      </w:rPr>
    </w:lvl>
    <w:lvl w:ilvl="7" w:tplc="B4B89A5C">
      <w:start w:val="1"/>
      <w:numFmt w:val="bullet"/>
      <w:lvlText w:val="o"/>
      <w:lvlJc w:val="left"/>
      <w:pPr>
        <w:tabs>
          <w:tab w:val="num" w:pos="5760"/>
        </w:tabs>
        <w:ind w:left="5760" w:hanging="360"/>
      </w:pPr>
      <w:rPr>
        <w:rFonts w:ascii="Courier New" w:hAnsi="Courier New" w:cs="Courier New" w:hint="default"/>
      </w:rPr>
    </w:lvl>
    <w:lvl w:ilvl="8" w:tplc="3184035A">
      <w:start w:val="1"/>
      <w:numFmt w:val="bullet"/>
      <w:lvlText w:val=""/>
      <w:lvlJc w:val="left"/>
      <w:pPr>
        <w:tabs>
          <w:tab w:val="num" w:pos="6480"/>
        </w:tabs>
        <w:ind w:left="6480" w:hanging="360"/>
      </w:pPr>
      <w:rPr>
        <w:rFonts w:ascii="Wingdings" w:hAnsi="Wingdings" w:cs="Wingdings" w:hint="default"/>
      </w:rPr>
    </w:lvl>
  </w:abstractNum>
  <w:abstractNum w:abstractNumId="42">
    <w:nsid w:val="7C35499A"/>
    <w:multiLevelType w:val="hybridMultilevel"/>
    <w:tmpl w:val="1F568D50"/>
    <w:lvl w:ilvl="0" w:tplc="394EF170">
      <w:numFmt w:val="bullet"/>
      <w:lvlText w:val="-"/>
      <w:lvlJc w:val="left"/>
      <w:pPr>
        <w:tabs>
          <w:tab w:val="num" w:pos="720"/>
        </w:tabs>
        <w:ind w:left="720" w:hanging="360"/>
      </w:pPr>
      <w:rPr>
        <w:rFonts w:ascii="Trebuchet MS" w:hAnsi="Trebuchet MS" w:cs="Trebuchet MS" w:hint="default"/>
        <w:b w:val="0"/>
        <w:bCs w:val="0"/>
        <w:i w:val="0"/>
        <w:iCs w:val="0"/>
        <w:color w:val="auto"/>
        <w:u w:val="no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3">
    <w:nsid w:val="7D574C7D"/>
    <w:multiLevelType w:val="multilevel"/>
    <w:tmpl w:val="A7C85404"/>
    <w:name w:val="Titre 3"/>
    <w:lvl w:ilvl="0">
      <w:start w:val="1"/>
      <w:numFmt w:val="upperRoman"/>
      <w:lvlText w:val="%1."/>
      <w:lvlJc w:val="right"/>
      <w:pPr>
        <w:tabs>
          <w:tab w:val="num" w:pos="924"/>
        </w:tabs>
        <w:ind w:left="924" w:hanging="567"/>
      </w:pPr>
      <w:rPr>
        <w:rFonts w:hint="default"/>
      </w:rPr>
    </w:lvl>
    <w:lvl w:ilvl="1">
      <w:start w:val="1"/>
      <w:numFmt w:val="decimal"/>
      <w:lvlText w:val="%2."/>
      <w:lvlJc w:val="left"/>
      <w:pPr>
        <w:tabs>
          <w:tab w:val="num" w:pos="717"/>
        </w:tabs>
        <w:ind w:left="717" w:hanging="360"/>
      </w:pPr>
    </w:lvl>
    <w:lvl w:ilvl="2">
      <w:start w:val="1"/>
      <w:numFmt w:val="decimal"/>
      <w:lvlText w:val="%1.%2.%3."/>
      <w:lvlJc w:val="left"/>
      <w:pPr>
        <w:tabs>
          <w:tab w:val="num" w:pos="4069"/>
        </w:tabs>
        <w:ind w:left="3853" w:hanging="504"/>
      </w:pPr>
      <w:rPr>
        <w:rFonts w:hint="default"/>
      </w:rPr>
    </w:lvl>
    <w:lvl w:ilvl="3">
      <w:start w:val="1"/>
      <w:numFmt w:val="decimal"/>
      <w:lvlText w:val="%1.%2.%3.%4."/>
      <w:lvlJc w:val="left"/>
      <w:pPr>
        <w:tabs>
          <w:tab w:val="num" w:pos="4789"/>
        </w:tabs>
        <w:ind w:left="4357" w:hanging="648"/>
      </w:pPr>
      <w:rPr>
        <w:rFonts w:hint="default"/>
      </w:rPr>
    </w:lvl>
    <w:lvl w:ilvl="4">
      <w:start w:val="1"/>
      <w:numFmt w:val="decimal"/>
      <w:lvlText w:val="%1.%2.%3.%4.%5."/>
      <w:lvlJc w:val="left"/>
      <w:pPr>
        <w:tabs>
          <w:tab w:val="num" w:pos="5149"/>
        </w:tabs>
        <w:ind w:left="4861" w:hanging="792"/>
      </w:pPr>
      <w:rPr>
        <w:rFonts w:hint="default"/>
      </w:rPr>
    </w:lvl>
    <w:lvl w:ilvl="5">
      <w:start w:val="1"/>
      <w:numFmt w:val="decimal"/>
      <w:lvlText w:val="%1.%2.%3.%4.%5.%6."/>
      <w:lvlJc w:val="left"/>
      <w:pPr>
        <w:tabs>
          <w:tab w:val="num" w:pos="5869"/>
        </w:tabs>
        <w:ind w:left="5365" w:hanging="936"/>
      </w:pPr>
      <w:rPr>
        <w:rFonts w:hint="default"/>
      </w:rPr>
    </w:lvl>
    <w:lvl w:ilvl="6">
      <w:start w:val="1"/>
      <w:numFmt w:val="decimal"/>
      <w:lvlText w:val="%1.%2.%3.%4.%5.%6.%7."/>
      <w:lvlJc w:val="left"/>
      <w:pPr>
        <w:tabs>
          <w:tab w:val="num" w:pos="6229"/>
        </w:tabs>
        <w:ind w:left="5869" w:hanging="1080"/>
      </w:pPr>
      <w:rPr>
        <w:rFonts w:hint="default"/>
      </w:rPr>
    </w:lvl>
    <w:lvl w:ilvl="7">
      <w:start w:val="1"/>
      <w:numFmt w:val="decimal"/>
      <w:lvlText w:val="%1.%2.%3.%4.%5.%6.%7.%8."/>
      <w:lvlJc w:val="left"/>
      <w:pPr>
        <w:tabs>
          <w:tab w:val="num" w:pos="6949"/>
        </w:tabs>
        <w:ind w:left="6373" w:hanging="1224"/>
      </w:pPr>
      <w:rPr>
        <w:rFonts w:hint="default"/>
      </w:rPr>
    </w:lvl>
    <w:lvl w:ilvl="8">
      <w:start w:val="1"/>
      <w:numFmt w:val="decimal"/>
      <w:lvlText w:val="%1.%2.%3.%4.%5.%6.%7.%8.%9."/>
      <w:lvlJc w:val="left"/>
      <w:pPr>
        <w:tabs>
          <w:tab w:val="num" w:pos="7309"/>
        </w:tabs>
        <w:ind w:left="6949" w:hanging="1440"/>
      </w:pPr>
      <w:rPr>
        <w:rFonts w:hint="default"/>
      </w:rPr>
    </w:lvl>
  </w:abstractNum>
  <w:abstractNum w:abstractNumId="44">
    <w:nsid w:val="7F09483B"/>
    <w:multiLevelType w:val="hybridMultilevel"/>
    <w:tmpl w:val="870EC026"/>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41"/>
  </w:num>
  <w:num w:numId="3">
    <w:abstractNumId w:val="38"/>
  </w:num>
  <w:num w:numId="4">
    <w:abstractNumId w:val="17"/>
  </w:num>
  <w:num w:numId="5">
    <w:abstractNumId w:val="14"/>
  </w:num>
  <w:num w:numId="6">
    <w:abstractNumId w:val="40"/>
  </w:num>
  <w:num w:numId="7">
    <w:abstractNumId w:val="34"/>
  </w:num>
  <w:num w:numId="8">
    <w:abstractNumId w:val="37"/>
  </w:num>
  <w:num w:numId="9">
    <w:abstractNumId w:val="15"/>
  </w:num>
  <w:num w:numId="10">
    <w:abstractNumId w:val="8"/>
  </w:num>
  <w:num w:numId="11">
    <w:abstractNumId w:val="36"/>
  </w:num>
  <w:num w:numId="12">
    <w:abstractNumId w:val="10"/>
  </w:num>
  <w:num w:numId="13">
    <w:abstractNumId w:val="18"/>
  </w:num>
  <w:num w:numId="14">
    <w:abstractNumId w:val="27"/>
  </w:num>
  <w:num w:numId="15">
    <w:abstractNumId w:val="33"/>
  </w:num>
  <w:num w:numId="16">
    <w:abstractNumId w:val="11"/>
  </w:num>
  <w:num w:numId="17">
    <w:abstractNumId w:val="29"/>
  </w:num>
  <w:num w:numId="18">
    <w:abstractNumId w:val="44"/>
  </w:num>
  <w:num w:numId="19">
    <w:abstractNumId w:val="26"/>
  </w:num>
  <w:num w:numId="20">
    <w:abstractNumId w:val="13"/>
  </w:num>
  <w:num w:numId="21">
    <w:abstractNumId w:val="16"/>
  </w:num>
  <w:num w:numId="22">
    <w:abstractNumId w:val="32"/>
  </w:num>
  <w:num w:numId="23">
    <w:abstractNumId w:val="42"/>
  </w:num>
  <w:num w:numId="24">
    <w:abstractNumId w:val="30"/>
  </w:num>
  <w:num w:numId="25">
    <w:abstractNumId w:val="39"/>
  </w:num>
  <w:num w:numId="26">
    <w:abstractNumId w:val="4"/>
  </w:num>
  <w:num w:numId="27">
    <w:abstractNumId w:val="31"/>
  </w:num>
  <w:num w:numId="28">
    <w:abstractNumId w:val="20"/>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9"/>
  </w:num>
  <w:num w:numId="36">
    <w:abstractNumId w:val="22"/>
  </w:num>
  <w:num w:numId="37">
    <w:abstractNumId w:val="3"/>
  </w:num>
  <w:num w:numId="38">
    <w:abstractNumId w:val="1"/>
  </w:num>
  <w:num w:numId="39">
    <w:abstractNumId w:val="25"/>
  </w:num>
  <w:num w:numId="40">
    <w:abstractNumId w:val="12"/>
  </w:num>
  <w:num w:numId="41">
    <w:abstractNumId w:val="21"/>
  </w:num>
  <w:num w:numId="42">
    <w:abstractNumId w:val="24"/>
  </w:num>
  <w:num w:numId="43">
    <w:abstractNumId w:val="7"/>
  </w:num>
  <w:num w:numId="44">
    <w:abstractNumId w:val="35"/>
  </w:num>
  <w:num w:numId="45">
    <w:abstractNumId w:val="19"/>
  </w:num>
  <w:num w:numId="46">
    <w:abstractNumId w:val="6"/>
  </w:num>
  <w:num w:numId="47">
    <w:abstractNumId w:val="28"/>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424962">
      <o:colormenu v:ext="edit" strokecolor="none [3212]"/>
    </o:shapedefaults>
  </w:hdrShapeDefaults>
  <w:footnotePr>
    <w:numRestart w:val="eachPage"/>
    <w:footnote w:id="0"/>
    <w:footnote w:id="1"/>
  </w:footnotePr>
  <w:endnotePr>
    <w:endnote w:id="0"/>
    <w:endnote w:id="1"/>
  </w:endnotePr>
  <w:compat/>
  <w:rsids>
    <w:rsidRoot w:val="00264B5B"/>
    <w:rsid w:val="00000138"/>
    <w:rsid w:val="0000063B"/>
    <w:rsid w:val="00000B6D"/>
    <w:rsid w:val="00000B86"/>
    <w:rsid w:val="00000FC6"/>
    <w:rsid w:val="00001008"/>
    <w:rsid w:val="00001555"/>
    <w:rsid w:val="000018A5"/>
    <w:rsid w:val="000024F6"/>
    <w:rsid w:val="0000279C"/>
    <w:rsid w:val="0000325D"/>
    <w:rsid w:val="0000414D"/>
    <w:rsid w:val="00004F25"/>
    <w:rsid w:val="0000561D"/>
    <w:rsid w:val="000061CB"/>
    <w:rsid w:val="0000628E"/>
    <w:rsid w:val="0000674C"/>
    <w:rsid w:val="00006DEC"/>
    <w:rsid w:val="00007A78"/>
    <w:rsid w:val="00007AAF"/>
    <w:rsid w:val="00007DA9"/>
    <w:rsid w:val="00010183"/>
    <w:rsid w:val="000107F0"/>
    <w:rsid w:val="00010B02"/>
    <w:rsid w:val="00011326"/>
    <w:rsid w:val="00011BD7"/>
    <w:rsid w:val="000120E5"/>
    <w:rsid w:val="0001229D"/>
    <w:rsid w:val="00012334"/>
    <w:rsid w:val="00012668"/>
    <w:rsid w:val="00012742"/>
    <w:rsid w:val="000128E6"/>
    <w:rsid w:val="00012E8D"/>
    <w:rsid w:val="000133DE"/>
    <w:rsid w:val="00013C4B"/>
    <w:rsid w:val="00013D42"/>
    <w:rsid w:val="00013DFD"/>
    <w:rsid w:val="00013F97"/>
    <w:rsid w:val="00014B32"/>
    <w:rsid w:val="00014D35"/>
    <w:rsid w:val="0001529F"/>
    <w:rsid w:val="000156E7"/>
    <w:rsid w:val="00015867"/>
    <w:rsid w:val="00015D9D"/>
    <w:rsid w:val="00016CD6"/>
    <w:rsid w:val="00016EBB"/>
    <w:rsid w:val="0002008B"/>
    <w:rsid w:val="0002099A"/>
    <w:rsid w:val="0002122C"/>
    <w:rsid w:val="00021681"/>
    <w:rsid w:val="000216CC"/>
    <w:rsid w:val="0002185C"/>
    <w:rsid w:val="00021D85"/>
    <w:rsid w:val="00021E59"/>
    <w:rsid w:val="0002200E"/>
    <w:rsid w:val="00022058"/>
    <w:rsid w:val="00022846"/>
    <w:rsid w:val="00022DD7"/>
    <w:rsid w:val="00023278"/>
    <w:rsid w:val="000238B5"/>
    <w:rsid w:val="00023C9E"/>
    <w:rsid w:val="00023DD4"/>
    <w:rsid w:val="00024711"/>
    <w:rsid w:val="00024F04"/>
    <w:rsid w:val="00024F77"/>
    <w:rsid w:val="0002506F"/>
    <w:rsid w:val="00025198"/>
    <w:rsid w:val="00026183"/>
    <w:rsid w:val="000265CA"/>
    <w:rsid w:val="00026B08"/>
    <w:rsid w:val="00026F07"/>
    <w:rsid w:val="00027632"/>
    <w:rsid w:val="00027E30"/>
    <w:rsid w:val="00030265"/>
    <w:rsid w:val="0003093B"/>
    <w:rsid w:val="00031411"/>
    <w:rsid w:val="0003151C"/>
    <w:rsid w:val="00031728"/>
    <w:rsid w:val="0003211D"/>
    <w:rsid w:val="00032266"/>
    <w:rsid w:val="00032303"/>
    <w:rsid w:val="0003283A"/>
    <w:rsid w:val="00032867"/>
    <w:rsid w:val="0003288D"/>
    <w:rsid w:val="00033492"/>
    <w:rsid w:val="00033767"/>
    <w:rsid w:val="00034166"/>
    <w:rsid w:val="000341EC"/>
    <w:rsid w:val="0003484E"/>
    <w:rsid w:val="000354B6"/>
    <w:rsid w:val="00035857"/>
    <w:rsid w:val="00035AC6"/>
    <w:rsid w:val="000363D7"/>
    <w:rsid w:val="0003644A"/>
    <w:rsid w:val="00036F60"/>
    <w:rsid w:val="0003769E"/>
    <w:rsid w:val="00037EBB"/>
    <w:rsid w:val="0004142C"/>
    <w:rsid w:val="00041E80"/>
    <w:rsid w:val="00042950"/>
    <w:rsid w:val="00043836"/>
    <w:rsid w:val="000438DC"/>
    <w:rsid w:val="0004396F"/>
    <w:rsid w:val="00043B1A"/>
    <w:rsid w:val="00043BD8"/>
    <w:rsid w:val="000446CB"/>
    <w:rsid w:val="00044C07"/>
    <w:rsid w:val="00044DBF"/>
    <w:rsid w:val="00044DF0"/>
    <w:rsid w:val="00044F04"/>
    <w:rsid w:val="00044FE0"/>
    <w:rsid w:val="00045770"/>
    <w:rsid w:val="0004587B"/>
    <w:rsid w:val="0004618B"/>
    <w:rsid w:val="0004689B"/>
    <w:rsid w:val="000468F6"/>
    <w:rsid w:val="00046933"/>
    <w:rsid w:val="00046BA4"/>
    <w:rsid w:val="00046E60"/>
    <w:rsid w:val="0004705B"/>
    <w:rsid w:val="00047C18"/>
    <w:rsid w:val="00047DB3"/>
    <w:rsid w:val="00047E75"/>
    <w:rsid w:val="00050F7F"/>
    <w:rsid w:val="000511FA"/>
    <w:rsid w:val="00052090"/>
    <w:rsid w:val="00052441"/>
    <w:rsid w:val="000526D2"/>
    <w:rsid w:val="0005297D"/>
    <w:rsid w:val="00052A6A"/>
    <w:rsid w:val="00052B87"/>
    <w:rsid w:val="00052EC5"/>
    <w:rsid w:val="00053701"/>
    <w:rsid w:val="00053EDA"/>
    <w:rsid w:val="000542B8"/>
    <w:rsid w:val="0005478D"/>
    <w:rsid w:val="0005488A"/>
    <w:rsid w:val="00054B2D"/>
    <w:rsid w:val="00054D3C"/>
    <w:rsid w:val="00054FDF"/>
    <w:rsid w:val="0005517F"/>
    <w:rsid w:val="000556E7"/>
    <w:rsid w:val="00055F81"/>
    <w:rsid w:val="00055FAF"/>
    <w:rsid w:val="0005677B"/>
    <w:rsid w:val="0005699A"/>
    <w:rsid w:val="000573CD"/>
    <w:rsid w:val="00057B8D"/>
    <w:rsid w:val="00057F29"/>
    <w:rsid w:val="00057FDB"/>
    <w:rsid w:val="000602FF"/>
    <w:rsid w:val="000606BE"/>
    <w:rsid w:val="00061068"/>
    <w:rsid w:val="0006188D"/>
    <w:rsid w:val="00061904"/>
    <w:rsid w:val="00061BBD"/>
    <w:rsid w:val="00061C90"/>
    <w:rsid w:val="00061FB1"/>
    <w:rsid w:val="000623C4"/>
    <w:rsid w:val="00062F66"/>
    <w:rsid w:val="0006311E"/>
    <w:rsid w:val="00064F4C"/>
    <w:rsid w:val="000661A6"/>
    <w:rsid w:val="00066BE9"/>
    <w:rsid w:val="0006769A"/>
    <w:rsid w:val="00067FE9"/>
    <w:rsid w:val="0007075D"/>
    <w:rsid w:val="00070848"/>
    <w:rsid w:val="00070914"/>
    <w:rsid w:val="00070B0D"/>
    <w:rsid w:val="000710AF"/>
    <w:rsid w:val="0007173D"/>
    <w:rsid w:val="000718E1"/>
    <w:rsid w:val="0007280B"/>
    <w:rsid w:val="00073100"/>
    <w:rsid w:val="0007366B"/>
    <w:rsid w:val="00073754"/>
    <w:rsid w:val="00073CED"/>
    <w:rsid w:val="0007438C"/>
    <w:rsid w:val="000744EC"/>
    <w:rsid w:val="0007456B"/>
    <w:rsid w:val="0007461C"/>
    <w:rsid w:val="00074F69"/>
    <w:rsid w:val="000751AD"/>
    <w:rsid w:val="000752C4"/>
    <w:rsid w:val="00076CA1"/>
    <w:rsid w:val="0007705B"/>
    <w:rsid w:val="000770DC"/>
    <w:rsid w:val="00077282"/>
    <w:rsid w:val="0007745A"/>
    <w:rsid w:val="00077535"/>
    <w:rsid w:val="00077879"/>
    <w:rsid w:val="00077B75"/>
    <w:rsid w:val="00077BDE"/>
    <w:rsid w:val="00077EFC"/>
    <w:rsid w:val="00080483"/>
    <w:rsid w:val="00080FE0"/>
    <w:rsid w:val="0008122B"/>
    <w:rsid w:val="00082518"/>
    <w:rsid w:val="00082B47"/>
    <w:rsid w:val="00082C98"/>
    <w:rsid w:val="00082E69"/>
    <w:rsid w:val="00082FD1"/>
    <w:rsid w:val="00083CCE"/>
    <w:rsid w:val="0008419D"/>
    <w:rsid w:val="0008429B"/>
    <w:rsid w:val="00084347"/>
    <w:rsid w:val="00084A35"/>
    <w:rsid w:val="00084C11"/>
    <w:rsid w:val="00084DF0"/>
    <w:rsid w:val="00086908"/>
    <w:rsid w:val="00086B70"/>
    <w:rsid w:val="00086EB4"/>
    <w:rsid w:val="00086FD5"/>
    <w:rsid w:val="00087127"/>
    <w:rsid w:val="0008731F"/>
    <w:rsid w:val="00087583"/>
    <w:rsid w:val="000878A6"/>
    <w:rsid w:val="00087BDF"/>
    <w:rsid w:val="000900F2"/>
    <w:rsid w:val="00090497"/>
    <w:rsid w:val="00090D74"/>
    <w:rsid w:val="0009124B"/>
    <w:rsid w:val="000912AA"/>
    <w:rsid w:val="00091D01"/>
    <w:rsid w:val="0009236D"/>
    <w:rsid w:val="00092CE3"/>
    <w:rsid w:val="0009361D"/>
    <w:rsid w:val="000937B4"/>
    <w:rsid w:val="000942B0"/>
    <w:rsid w:val="0009461C"/>
    <w:rsid w:val="000949F7"/>
    <w:rsid w:val="00094DE9"/>
    <w:rsid w:val="0009522A"/>
    <w:rsid w:val="00095B86"/>
    <w:rsid w:val="00095CEA"/>
    <w:rsid w:val="00096B4C"/>
    <w:rsid w:val="00096F6E"/>
    <w:rsid w:val="00097561"/>
    <w:rsid w:val="0009760F"/>
    <w:rsid w:val="000977A8"/>
    <w:rsid w:val="00097F97"/>
    <w:rsid w:val="000A0159"/>
    <w:rsid w:val="000A0304"/>
    <w:rsid w:val="000A0B37"/>
    <w:rsid w:val="000A1086"/>
    <w:rsid w:val="000A1302"/>
    <w:rsid w:val="000A1BAD"/>
    <w:rsid w:val="000A1D97"/>
    <w:rsid w:val="000A202C"/>
    <w:rsid w:val="000A21C8"/>
    <w:rsid w:val="000A2347"/>
    <w:rsid w:val="000A3603"/>
    <w:rsid w:val="000A3B9D"/>
    <w:rsid w:val="000A3E6E"/>
    <w:rsid w:val="000A4391"/>
    <w:rsid w:val="000A5700"/>
    <w:rsid w:val="000A574B"/>
    <w:rsid w:val="000A6711"/>
    <w:rsid w:val="000A6AB4"/>
    <w:rsid w:val="000A6BAD"/>
    <w:rsid w:val="000A6D75"/>
    <w:rsid w:val="000A6F89"/>
    <w:rsid w:val="000A72B3"/>
    <w:rsid w:val="000A72D5"/>
    <w:rsid w:val="000A7366"/>
    <w:rsid w:val="000A76D9"/>
    <w:rsid w:val="000A78A6"/>
    <w:rsid w:val="000A7C1C"/>
    <w:rsid w:val="000B1841"/>
    <w:rsid w:val="000B210C"/>
    <w:rsid w:val="000B268C"/>
    <w:rsid w:val="000B2A90"/>
    <w:rsid w:val="000B3096"/>
    <w:rsid w:val="000B3618"/>
    <w:rsid w:val="000B3F68"/>
    <w:rsid w:val="000B40B3"/>
    <w:rsid w:val="000B4D2A"/>
    <w:rsid w:val="000B519D"/>
    <w:rsid w:val="000B5ADB"/>
    <w:rsid w:val="000B60AC"/>
    <w:rsid w:val="000B6195"/>
    <w:rsid w:val="000B61CE"/>
    <w:rsid w:val="000B6963"/>
    <w:rsid w:val="000B6DEE"/>
    <w:rsid w:val="000B7141"/>
    <w:rsid w:val="000B726A"/>
    <w:rsid w:val="000B73BA"/>
    <w:rsid w:val="000B74FC"/>
    <w:rsid w:val="000B7C9E"/>
    <w:rsid w:val="000B7D99"/>
    <w:rsid w:val="000C027B"/>
    <w:rsid w:val="000C02C3"/>
    <w:rsid w:val="000C0480"/>
    <w:rsid w:val="000C057B"/>
    <w:rsid w:val="000C06BD"/>
    <w:rsid w:val="000C11DD"/>
    <w:rsid w:val="000C12CD"/>
    <w:rsid w:val="000C16B4"/>
    <w:rsid w:val="000C1A79"/>
    <w:rsid w:val="000C26A4"/>
    <w:rsid w:val="000C2EE8"/>
    <w:rsid w:val="000C3DDE"/>
    <w:rsid w:val="000C4AB1"/>
    <w:rsid w:val="000C4B69"/>
    <w:rsid w:val="000C5233"/>
    <w:rsid w:val="000C55F5"/>
    <w:rsid w:val="000C5B1F"/>
    <w:rsid w:val="000C5B27"/>
    <w:rsid w:val="000C5C30"/>
    <w:rsid w:val="000C70A6"/>
    <w:rsid w:val="000C7A57"/>
    <w:rsid w:val="000C7C2F"/>
    <w:rsid w:val="000C7F97"/>
    <w:rsid w:val="000D017F"/>
    <w:rsid w:val="000D0366"/>
    <w:rsid w:val="000D03DA"/>
    <w:rsid w:val="000D0CE2"/>
    <w:rsid w:val="000D103A"/>
    <w:rsid w:val="000D1493"/>
    <w:rsid w:val="000D149B"/>
    <w:rsid w:val="000D23AC"/>
    <w:rsid w:val="000D244C"/>
    <w:rsid w:val="000D2E1B"/>
    <w:rsid w:val="000D3200"/>
    <w:rsid w:val="000D366C"/>
    <w:rsid w:val="000D3CE6"/>
    <w:rsid w:val="000D444A"/>
    <w:rsid w:val="000D4659"/>
    <w:rsid w:val="000D470B"/>
    <w:rsid w:val="000D4E89"/>
    <w:rsid w:val="000D51C2"/>
    <w:rsid w:val="000D5401"/>
    <w:rsid w:val="000D548F"/>
    <w:rsid w:val="000D5710"/>
    <w:rsid w:val="000D5F82"/>
    <w:rsid w:val="000D62E2"/>
    <w:rsid w:val="000D6828"/>
    <w:rsid w:val="000D745D"/>
    <w:rsid w:val="000D7629"/>
    <w:rsid w:val="000D78E1"/>
    <w:rsid w:val="000E0126"/>
    <w:rsid w:val="000E05E2"/>
    <w:rsid w:val="000E0859"/>
    <w:rsid w:val="000E0C56"/>
    <w:rsid w:val="000E0D0D"/>
    <w:rsid w:val="000E1309"/>
    <w:rsid w:val="000E17FC"/>
    <w:rsid w:val="000E19BA"/>
    <w:rsid w:val="000E2564"/>
    <w:rsid w:val="000E2B1C"/>
    <w:rsid w:val="000E2DA3"/>
    <w:rsid w:val="000E2EB6"/>
    <w:rsid w:val="000E3104"/>
    <w:rsid w:val="000E331E"/>
    <w:rsid w:val="000E343C"/>
    <w:rsid w:val="000E3D2A"/>
    <w:rsid w:val="000E438A"/>
    <w:rsid w:val="000E4D9B"/>
    <w:rsid w:val="000E4DA0"/>
    <w:rsid w:val="000E557D"/>
    <w:rsid w:val="000E5C51"/>
    <w:rsid w:val="000E5E1E"/>
    <w:rsid w:val="000E6411"/>
    <w:rsid w:val="000E69EF"/>
    <w:rsid w:val="000E69F6"/>
    <w:rsid w:val="000E6EC2"/>
    <w:rsid w:val="000E6ECD"/>
    <w:rsid w:val="000E704B"/>
    <w:rsid w:val="000E71CF"/>
    <w:rsid w:val="000E720F"/>
    <w:rsid w:val="000E73C9"/>
    <w:rsid w:val="000E7559"/>
    <w:rsid w:val="000E7FB8"/>
    <w:rsid w:val="000F00F1"/>
    <w:rsid w:val="000F0387"/>
    <w:rsid w:val="000F043D"/>
    <w:rsid w:val="000F19F2"/>
    <w:rsid w:val="000F2060"/>
    <w:rsid w:val="000F28EB"/>
    <w:rsid w:val="000F2DE2"/>
    <w:rsid w:val="000F303A"/>
    <w:rsid w:val="000F3282"/>
    <w:rsid w:val="000F3460"/>
    <w:rsid w:val="000F3A2D"/>
    <w:rsid w:val="000F3F65"/>
    <w:rsid w:val="000F4938"/>
    <w:rsid w:val="000F4F31"/>
    <w:rsid w:val="000F4F8D"/>
    <w:rsid w:val="000F5118"/>
    <w:rsid w:val="000F578E"/>
    <w:rsid w:val="000F5C6B"/>
    <w:rsid w:val="000F5D46"/>
    <w:rsid w:val="000F6195"/>
    <w:rsid w:val="000F6531"/>
    <w:rsid w:val="000F6CB7"/>
    <w:rsid w:val="000F6F22"/>
    <w:rsid w:val="000F78A4"/>
    <w:rsid w:val="00100B87"/>
    <w:rsid w:val="00100C42"/>
    <w:rsid w:val="00100DFB"/>
    <w:rsid w:val="00100F5D"/>
    <w:rsid w:val="0010141C"/>
    <w:rsid w:val="00101574"/>
    <w:rsid w:val="00101812"/>
    <w:rsid w:val="00101A8C"/>
    <w:rsid w:val="00101F25"/>
    <w:rsid w:val="001020DC"/>
    <w:rsid w:val="001020F8"/>
    <w:rsid w:val="00102293"/>
    <w:rsid w:val="001024ED"/>
    <w:rsid w:val="00102AAC"/>
    <w:rsid w:val="00102CAD"/>
    <w:rsid w:val="00103434"/>
    <w:rsid w:val="00103AC4"/>
    <w:rsid w:val="00103F02"/>
    <w:rsid w:val="0010410C"/>
    <w:rsid w:val="0010450C"/>
    <w:rsid w:val="001049A6"/>
    <w:rsid w:val="00104C02"/>
    <w:rsid w:val="00105C1B"/>
    <w:rsid w:val="00105F1F"/>
    <w:rsid w:val="00106196"/>
    <w:rsid w:val="00106739"/>
    <w:rsid w:val="001068A3"/>
    <w:rsid w:val="0010714C"/>
    <w:rsid w:val="001079AA"/>
    <w:rsid w:val="00107D47"/>
    <w:rsid w:val="00107D62"/>
    <w:rsid w:val="00107EB4"/>
    <w:rsid w:val="0011010E"/>
    <w:rsid w:val="00111335"/>
    <w:rsid w:val="00111495"/>
    <w:rsid w:val="001115C9"/>
    <w:rsid w:val="001115D2"/>
    <w:rsid w:val="0011164A"/>
    <w:rsid w:val="00111939"/>
    <w:rsid w:val="001119B0"/>
    <w:rsid w:val="00111A4A"/>
    <w:rsid w:val="00112040"/>
    <w:rsid w:val="00112118"/>
    <w:rsid w:val="001129F4"/>
    <w:rsid w:val="00112CD5"/>
    <w:rsid w:val="00113075"/>
    <w:rsid w:val="0011328C"/>
    <w:rsid w:val="00113676"/>
    <w:rsid w:val="001136CE"/>
    <w:rsid w:val="00114131"/>
    <w:rsid w:val="001143AB"/>
    <w:rsid w:val="0011527D"/>
    <w:rsid w:val="00115635"/>
    <w:rsid w:val="001157C3"/>
    <w:rsid w:val="001158C9"/>
    <w:rsid w:val="00115AD2"/>
    <w:rsid w:val="00115B16"/>
    <w:rsid w:val="00115DBC"/>
    <w:rsid w:val="001166C5"/>
    <w:rsid w:val="00116AAE"/>
    <w:rsid w:val="00116E04"/>
    <w:rsid w:val="0012021A"/>
    <w:rsid w:val="001209EB"/>
    <w:rsid w:val="00120A6B"/>
    <w:rsid w:val="001211B3"/>
    <w:rsid w:val="001216A6"/>
    <w:rsid w:val="00121AE8"/>
    <w:rsid w:val="00121C07"/>
    <w:rsid w:val="00121C2D"/>
    <w:rsid w:val="00122943"/>
    <w:rsid w:val="0012295D"/>
    <w:rsid w:val="00123557"/>
    <w:rsid w:val="00123852"/>
    <w:rsid w:val="0012396F"/>
    <w:rsid w:val="00123984"/>
    <w:rsid w:val="001239F9"/>
    <w:rsid w:val="001246EE"/>
    <w:rsid w:val="00125A75"/>
    <w:rsid w:val="001260CF"/>
    <w:rsid w:val="0012611E"/>
    <w:rsid w:val="0012690B"/>
    <w:rsid w:val="001270B0"/>
    <w:rsid w:val="001270FB"/>
    <w:rsid w:val="00127351"/>
    <w:rsid w:val="001274C3"/>
    <w:rsid w:val="00127C24"/>
    <w:rsid w:val="00130070"/>
    <w:rsid w:val="00130166"/>
    <w:rsid w:val="00130524"/>
    <w:rsid w:val="0013055E"/>
    <w:rsid w:val="001307A7"/>
    <w:rsid w:val="00130BD7"/>
    <w:rsid w:val="0013148D"/>
    <w:rsid w:val="00131708"/>
    <w:rsid w:val="001317B1"/>
    <w:rsid w:val="00131A4A"/>
    <w:rsid w:val="00131ADB"/>
    <w:rsid w:val="00131C27"/>
    <w:rsid w:val="0013229C"/>
    <w:rsid w:val="001322EB"/>
    <w:rsid w:val="0013276F"/>
    <w:rsid w:val="00133319"/>
    <w:rsid w:val="00133664"/>
    <w:rsid w:val="00134189"/>
    <w:rsid w:val="00134973"/>
    <w:rsid w:val="0013534E"/>
    <w:rsid w:val="00135B54"/>
    <w:rsid w:val="0013647C"/>
    <w:rsid w:val="001368AE"/>
    <w:rsid w:val="00137402"/>
    <w:rsid w:val="0013762A"/>
    <w:rsid w:val="001401C2"/>
    <w:rsid w:val="00140BA9"/>
    <w:rsid w:val="00140C32"/>
    <w:rsid w:val="00141243"/>
    <w:rsid w:val="00141551"/>
    <w:rsid w:val="001418AB"/>
    <w:rsid w:val="001421CA"/>
    <w:rsid w:val="001423A9"/>
    <w:rsid w:val="00142CA5"/>
    <w:rsid w:val="00142E79"/>
    <w:rsid w:val="00143100"/>
    <w:rsid w:val="0014321A"/>
    <w:rsid w:val="00143343"/>
    <w:rsid w:val="00143689"/>
    <w:rsid w:val="00143725"/>
    <w:rsid w:val="0014397F"/>
    <w:rsid w:val="00144022"/>
    <w:rsid w:val="001440F7"/>
    <w:rsid w:val="00144556"/>
    <w:rsid w:val="00144ED8"/>
    <w:rsid w:val="00145722"/>
    <w:rsid w:val="001466FF"/>
    <w:rsid w:val="0014682E"/>
    <w:rsid w:val="001470DA"/>
    <w:rsid w:val="00147D82"/>
    <w:rsid w:val="00147FA3"/>
    <w:rsid w:val="0015009F"/>
    <w:rsid w:val="001504EE"/>
    <w:rsid w:val="00151BD7"/>
    <w:rsid w:val="00151F72"/>
    <w:rsid w:val="0015285A"/>
    <w:rsid w:val="00152D3E"/>
    <w:rsid w:val="001531CF"/>
    <w:rsid w:val="00153850"/>
    <w:rsid w:val="001538ED"/>
    <w:rsid w:val="001550EB"/>
    <w:rsid w:val="0015553B"/>
    <w:rsid w:val="00155EE9"/>
    <w:rsid w:val="00155FE4"/>
    <w:rsid w:val="00156B2C"/>
    <w:rsid w:val="001570F8"/>
    <w:rsid w:val="00157128"/>
    <w:rsid w:val="001579AD"/>
    <w:rsid w:val="00157A78"/>
    <w:rsid w:val="00157ECE"/>
    <w:rsid w:val="00161896"/>
    <w:rsid w:val="00161DA2"/>
    <w:rsid w:val="00162301"/>
    <w:rsid w:val="0016276B"/>
    <w:rsid w:val="001638A9"/>
    <w:rsid w:val="00163A25"/>
    <w:rsid w:val="00163B48"/>
    <w:rsid w:val="00163E8E"/>
    <w:rsid w:val="00164037"/>
    <w:rsid w:val="00164615"/>
    <w:rsid w:val="001657FA"/>
    <w:rsid w:val="00166047"/>
    <w:rsid w:val="001662C7"/>
    <w:rsid w:val="00166495"/>
    <w:rsid w:val="00166D0E"/>
    <w:rsid w:val="00167C54"/>
    <w:rsid w:val="00167F2C"/>
    <w:rsid w:val="00170237"/>
    <w:rsid w:val="001715DD"/>
    <w:rsid w:val="00172011"/>
    <w:rsid w:val="0017218A"/>
    <w:rsid w:val="0017255E"/>
    <w:rsid w:val="0017263F"/>
    <w:rsid w:val="0017305F"/>
    <w:rsid w:val="001738DE"/>
    <w:rsid w:val="001738FC"/>
    <w:rsid w:val="00173EA2"/>
    <w:rsid w:val="001740F9"/>
    <w:rsid w:val="001742E1"/>
    <w:rsid w:val="0017486A"/>
    <w:rsid w:val="0017562C"/>
    <w:rsid w:val="0017567F"/>
    <w:rsid w:val="0017581F"/>
    <w:rsid w:val="00176441"/>
    <w:rsid w:val="001767A3"/>
    <w:rsid w:val="00176A2F"/>
    <w:rsid w:val="001778F7"/>
    <w:rsid w:val="00177FB9"/>
    <w:rsid w:val="00180305"/>
    <w:rsid w:val="00180B7A"/>
    <w:rsid w:val="0018177E"/>
    <w:rsid w:val="00181984"/>
    <w:rsid w:val="0018198E"/>
    <w:rsid w:val="00181A69"/>
    <w:rsid w:val="001821A2"/>
    <w:rsid w:val="001821E4"/>
    <w:rsid w:val="00182408"/>
    <w:rsid w:val="00182A27"/>
    <w:rsid w:val="00182FB1"/>
    <w:rsid w:val="001841C4"/>
    <w:rsid w:val="00184520"/>
    <w:rsid w:val="00184633"/>
    <w:rsid w:val="00184818"/>
    <w:rsid w:val="00184BA0"/>
    <w:rsid w:val="00184ED5"/>
    <w:rsid w:val="001867C7"/>
    <w:rsid w:val="00186802"/>
    <w:rsid w:val="00186E76"/>
    <w:rsid w:val="00187025"/>
    <w:rsid w:val="00187655"/>
    <w:rsid w:val="001877AB"/>
    <w:rsid w:val="00190090"/>
    <w:rsid w:val="00190140"/>
    <w:rsid w:val="0019033C"/>
    <w:rsid w:val="00190367"/>
    <w:rsid w:val="00190496"/>
    <w:rsid w:val="00190D09"/>
    <w:rsid w:val="0019119A"/>
    <w:rsid w:val="0019317D"/>
    <w:rsid w:val="0019325C"/>
    <w:rsid w:val="00193540"/>
    <w:rsid w:val="001935D0"/>
    <w:rsid w:val="00193B63"/>
    <w:rsid w:val="00193E22"/>
    <w:rsid w:val="001941A4"/>
    <w:rsid w:val="001944B3"/>
    <w:rsid w:val="00194AF0"/>
    <w:rsid w:val="00194BC8"/>
    <w:rsid w:val="00194E4E"/>
    <w:rsid w:val="00194ECE"/>
    <w:rsid w:val="001959D1"/>
    <w:rsid w:val="00195B54"/>
    <w:rsid w:val="00195FD3"/>
    <w:rsid w:val="00196030"/>
    <w:rsid w:val="00196042"/>
    <w:rsid w:val="00196B8A"/>
    <w:rsid w:val="00197EA4"/>
    <w:rsid w:val="001A0BD7"/>
    <w:rsid w:val="001A0C75"/>
    <w:rsid w:val="001A0CCB"/>
    <w:rsid w:val="001A0E8C"/>
    <w:rsid w:val="001A1C72"/>
    <w:rsid w:val="001A1D5A"/>
    <w:rsid w:val="001A1EC2"/>
    <w:rsid w:val="001A2196"/>
    <w:rsid w:val="001A21CE"/>
    <w:rsid w:val="001A27F3"/>
    <w:rsid w:val="001A27FE"/>
    <w:rsid w:val="001A28F0"/>
    <w:rsid w:val="001A3840"/>
    <w:rsid w:val="001A3BE6"/>
    <w:rsid w:val="001A41E5"/>
    <w:rsid w:val="001A4490"/>
    <w:rsid w:val="001A4547"/>
    <w:rsid w:val="001A4777"/>
    <w:rsid w:val="001A64E0"/>
    <w:rsid w:val="001A69BE"/>
    <w:rsid w:val="001A77B8"/>
    <w:rsid w:val="001A7E5B"/>
    <w:rsid w:val="001B012A"/>
    <w:rsid w:val="001B0BF9"/>
    <w:rsid w:val="001B0D63"/>
    <w:rsid w:val="001B0EBA"/>
    <w:rsid w:val="001B10A8"/>
    <w:rsid w:val="001B15D5"/>
    <w:rsid w:val="001B1656"/>
    <w:rsid w:val="001B1B4A"/>
    <w:rsid w:val="001B208F"/>
    <w:rsid w:val="001B234D"/>
    <w:rsid w:val="001B2718"/>
    <w:rsid w:val="001B28DD"/>
    <w:rsid w:val="001B316E"/>
    <w:rsid w:val="001B3F6D"/>
    <w:rsid w:val="001B49B1"/>
    <w:rsid w:val="001B4E93"/>
    <w:rsid w:val="001B557B"/>
    <w:rsid w:val="001B59FA"/>
    <w:rsid w:val="001B5AD9"/>
    <w:rsid w:val="001B62FF"/>
    <w:rsid w:val="001B6AC7"/>
    <w:rsid w:val="001B6B9A"/>
    <w:rsid w:val="001B70FD"/>
    <w:rsid w:val="001B74EC"/>
    <w:rsid w:val="001B7800"/>
    <w:rsid w:val="001B7D26"/>
    <w:rsid w:val="001B7E87"/>
    <w:rsid w:val="001B7EFB"/>
    <w:rsid w:val="001B7F58"/>
    <w:rsid w:val="001C0AA3"/>
    <w:rsid w:val="001C0C76"/>
    <w:rsid w:val="001C167D"/>
    <w:rsid w:val="001C16A0"/>
    <w:rsid w:val="001C1AA4"/>
    <w:rsid w:val="001C218F"/>
    <w:rsid w:val="001C270E"/>
    <w:rsid w:val="001C270F"/>
    <w:rsid w:val="001C2734"/>
    <w:rsid w:val="001C300D"/>
    <w:rsid w:val="001C3294"/>
    <w:rsid w:val="001C3305"/>
    <w:rsid w:val="001C35EE"/>
    <w:rsid w:val="001C37E3"/>
    <w:rsid w:val="001C391C"/>
    <w:rsid w:val="001C4DA6"/>
    <w:rsid w:val="001C4E6A"/>
    <w:rsid w:val="001C505E"/>
    <w:rsid w:val="001C52A1"/>
    <w:rsid w:val="001C5510"/>
    <w:rsid w:val="001C576F"/>
    <w:rsid w:val="001C5A1E"/>
    <w:rsid w:val="001C7906"/>
    <w:rsid w:val="001C7D8D"/>
    <w:rsid w:val="001D03F4"/>
    <w:rsid w:val="001D0FA3"/>
    <w:rsid w:val="001D15A1"/>
    <w:rsid w:val="001D1965"/>
    <w:rsid w:val="001D1DB1"/>
    <w:rsid w:val="001D1DC4"/>
    <w:rsid w:val="001D1E05"/>
    <w:rsid w:val="001D2191"/>
    <w:rsid w:val="001D3495"/>
    <w:rsid w:val="001D36D4"/>
    <w:rsid w:val="001D3DFD"/>
    <w:rsid w:val="001D3F69"/>
    <w:rsid w:val="001D4340"/>
    <w:rsid w:val="001D45C9"/>
    <w:rsid w:val="001D46E9"/>
    <w:rsid w:val="001D49CF"/>
    <w:rsid w:val="001D4BC8"/>
    <w:rsid w:val="001D4DCA"/>
    <w:rsid w:val="001D5747"/>
    <w:rsid w:val="001D66B6"/>
    <w:rsid w:val="001D6DD1"/>
    <w:rsid w:val="001D7459"/>
    <w:rsid w:val="001D78BC"/>
    <w:rsid w:val="001D7CE8"/>
    <w:rsid w:val="001D7D22"/>
    <w:rsid w:val="001E0066"/>
    <w:rsid w:val="001E06DF"/>
    <w:rsid w:val="001E0C37"/>
    <w:rsid w:val="001E0FCA"/>
    <w:rsid w:val="001E1011"/>
    <w:rsid w:val="001E1387"/>
    <w:rsid w:val="001E2248"/>
    <w:rsid w:val="001E276A"/>
    <w:rsid w:val="001E2BA5"/>
    <w:rsid w:val="001E3065"/>
    <w:rsid w:val="001E32D1"/>
    <w:rsid w:val="001E3838"/>
    <w:rsid w:val="001E3D78"/>
    <w:rsid w:val="001E4305"/>
    <w:rsid w:val="001E4A6F"/>
    <w:rsid w:val="001E4BBB"/>
    <w:rsid w:val="001E4EA0"/>
    <w:rsid w:val="001E5149"/>
    <w:rsid w:val="001E5769"/>
    <w:rsid w:val="001E7B5E"/>
    <w:rsid w:val="001F00AA"/>
    <w:rsid w:val="001F0B2A"/>
    <w:rsid w:val="001F0C45"/>
    <w:rsid w:val="001F0E83"/>
    <w:rsid w:val="001F1691"/>
    <w:rsid w:val="001F25A6"/>
    <w:rsid w:val="001F2644"/>
    <w:rsid w:val="001F2BDE"/>
    <w:rsid w:val="001F3536"/>
    <w:rsid w:val="001F3B58"/>
    <w:rsid w:val="001F3DC9"/>
    <w:rsid w:val="001F4154"/>
    <w:rsid w:val="001F42DF"/>
    <w:rsid w:val="001F492B"/>
    <w:rsid w:val="001F49BA"/>
    <w:rsid w:val="001F4C6D"/>
    <w:rsid w:val="001F63EB"/>
    <w:rsid w:val="001F6636"/>
    <w:rsid w:val="001F6693"/>
    <w:rsid w:val="001F6DAF"/>
    <w:rsid w:val="001F751A"/>
    <w:rsid w:val="00200040"/>
    <w:rsid w:val="0020010F"/>
    <w:rsid w:val="0020058A"/>
    <w:rsid w:val="0020090F"/>
    <w:rsid w:val="002010D0"/>
    <w:rsid w:val="0020122A"/>
    <w:rsid w:val="0020157D"/>
    <w:rsid w:val="00202170"/>
    <w:rsid w:val="00202699"/>
    <w:rsid w:val="00202BCF"/>
    <w:rsid w:val="00202C95"/>
    <w:rsid w:val="00202ED2"/>
    <w:rsid w:val="002031A4"/>
    <w:rsid w:val="00203428"/>
    <w:rsid w:val="00203AD2"/>
    <w:rsid w:val="00203C4E"/>
    <w:rsid w:val="0020447C"/>
    <w:rsid w:val="00204764"/>
    <w:rsid w:val="00204AA6"/>
    <w:rsid w:val="00204B1B"/>
    <w:rsid w:val="00205090"/>
    <w:rsid w:val="00205230"/>
    <w:rsid w:val="00205AA2"/>
    <w:rsid w:val="00205C55"/>
    <w:rsid w:val="002060C7"/>
    <w:rsid w:val="00206159"/>
    <w:rsid w:val="002067A7"/>
    <w:rsid w:val="00206F33"/>
    <w:rsid w:val="00207980"/>
    <w:rsid w:val="00207A34"/>
    <w:rsid w:val="00207A77"/>
    <w:rsid w:val="00207B66"/>
    <w:rsid w:val="00207E86"/>
    <w:rsid w:val="00210438"/>
    <w:rsid w:val="00210474"/>
    <w:rsid w:val="0021098D"/>
    <w:rsid w:val="00210AD3"/>
    <w:rsid w:val="00210D60"/>
    <w:rsid w:val="0021171D"/>
    <w:rsid w:val="00211D20"/>
    <w:rsid w:val="00211FEB"/>
    <w:rsid w:val="00212236"/>
    <w:rsid w:val="00212428"/>
    <w:rsid w:val="002124FC"/>
    <w:rsid w:val="00212A14"/>
    <w:rsid w:val="00212B3D"/>
    <w:rsid w:val="00212F30"/>
    <w:rsid w:val="002130F5"/>
    <w:rsid w:val="002131B3"/>
    <w:rsid w:val="00213338"/>
    <w:rsid w:val="00213642"/>
    <w:rsid w:val="00213B2A"/>
    <w:rsid w:val="00214123"/>
    <w:rsid w:val="0021421A"/>
    <w:rsid w:val="002144F9"/>
    <w:rsid w:val="00214AE1"/>
    <w:rsid w:val="00214CD8"/>
    <w:rsid w:val="00214E97"/>
    <w:rsid w:val="002162E8"/>
    <w:rsid w:val="00216DB7"/>
    <w:rsid w:val="00216E5C"/>
    <w:rsid w:val="0021715F"/>
    <w:rsid w:val="00217428"/>
    <w:rsid w:val="0021763D"/>
    <w:rsid w:val="00217D35"/>
    <w:rsid w:val="00217F70"/>
    <w:rsid w:val="00220015"/>
    <w:rsid w:val="0022023C"/>
    <w:rsid w:val="00220597"/>
    <w:rsid w:val="0022059F"/>
    <w:rsid w:val="002208D8"/>
    <w:rsid w:val="00220B3A"/>
    <w:rsid w:val="002211EF"/>
    <w:rsid w:val="00221B28"/>
    <w:rsid w:val="002224EB"/>
    <w:rsid w:val="00222584"/>
    <w:rsid w:val="002225E8"/>
    <w:rsid w:val="00222668"/>
    <w:rsid w:val="00223286"/>
    <w:rsid w:val="00223632"/>
    <w:rsid w:val="0022371C"/>
    <w:rsid w:val="00223A9B"/>
    <w:rsid w:val="00223EAC"/>
    <w:rsid w:val="00223EE8"/>
    <w:rsid w:val="00224281"/>
    <w:rsid w:val="00224A28"/>
    <w:rsid w:val="00224EF2"/>
    <w:rsid w:val="0022576D"/>
    <w:rsid w:val="0022581A"/>
    <w:rsid w:val="0022599F"/>
    <w:rsid w:val="00226490"/>
    <w:rsid w:val="0022649C"/>
    <w:rsid w:val="00226594"/>
    <w:rsid w:val="00226C46"/>
    <w:rsid w:val="00227F94"/>
    <w:rsid w:val="002305AF"/>
    <w:rsid w:val="00230829"/>
    <w:rsid w:val="00230B77"/>
    <w:rsid w:val="00230BB4"/>
    <w:rsid w:val="00230C4F"/>
    <w:rsid w:val="00231383"/>
    <w:rsid w:val="0023151E"/>
    <w:rsid w:val="00231A19"/>
    <w:rsid w:val="002320C4"/>
    <w:rsid w:val="0023210C"/>
    <w:rsid w:val="0023232B"/>
    <w:rsid w:val="00232397"/>
    <w:rsid w:val="00232768"/>
    <w:rsid w:val="00232B2F"/>
    <w:rsid w:val="00233064"/>
    <w:rsid w:val="002330B9"/>
    <w:rsid w:val="00233C84"/>
    <w:rsid w:val="00233F91"/>
    <w:rsid w:val="00234080"/>
    <w:rsid w:val="0023409D"/>
    <w:rsid w:val="002355AE"/>
    <w:rsid w:val="00235721"/>
    <w:rsid w:val="002358AA"/>
    <w:rsid w:val="00235955"/>
    <w:rsid w:val="00235F49"/>
    <w:rsid w:val="002361C1"/>
    <w:rsid w:val="00236239"/>
    <w:rsid w:val="0023663B"/>
    <w:rsid w:val="00236B30"/>
    <w:rsid w:val="00236B56"/>
    <w:rsid w:val="0023755A"/>
    <w:rsid w:val="0024031A"/>
    <w:rsid w:val="00240F06"/>
    <w:rsid w:val="00240F17"/>
    <w:rsid w:val="002418E5"/>
    <w:rsid w:val="002419F7"/>
    <w:rsid w:val="00241C41"/>
    <w:rsid w:val="00241E3E"/>
    <w:rsid w:val="0024230C"/>
    <w:rsid w:val="0024252A"/>
    <w:rsid w:val="002425C2"/>
    <w:rsid w:val="00242962"/>
    <w:rsid w:val="00242A7A"/>
    <w:rsid w:val="0024300D"/>
    <w:rsid w:val="002430F9"/>
    <w:rsid w:val="00243197"/>
    <w:rsid w:val="002431BD"/>
    <w:rsid w:val="00243558"/>
    <w:rsid w:val="002437AB"/>
    <w:rsid w:val="00243FE9"/>
    <w:rsid w:val="0024451C"/>
    <w:rsid w:val="0024497F"/>
    <w:rsid w:val="00244C12"/>
    <w:rsid w:val="00244C52"/>
    <w:rsid w:val="00244C85"/>
    <w:rsid w:val="00245022"/>
    <w:rsid w:val="0024542C"/>
    <w:rsid w:val="00245662"/>
    <w:rsid w:val="00245E85"/>
    <w:rsid w:val="002464AC"/>
    <w:rsid w:val="002465D3"/>
    <w:rsid w:val="00246901"/>
    <w:rsid w:val="00246A76"/>
    <w:rsid w:val="002479CC"/>
    <w:rsid w:val="00247B04"/>
    <w:rsid w:val="00247CBB"/>
    <w:rsid w:val="0025012D"/>
    <w:rsid w:val="00250487"/>
    <w:rsid w:val="00251426"/>
    <w:rsid w:val="00251972"/>
    <w:rsid w:val="0025260C"/>
    <w:rsid w:val="002527FA"/>
    <w:rsid w:val="00252968"/>
    <w:rsid w:val="00252AEC"/>
    <w:rsid w:val="00252AF7"/>
    <w:rsid w:val="00252B5C"/>
    <w:rsid w:val="00252DAF"/>
    <w:rsid w:val="002534BC"/>
    <w:rsid w:val="00253611"/>
    <w:rsid w:val="00254DCB"/>
    <w:rsid w:val="00255319"/>
    <w:rsid w:val="0025537E"/>
    <w:rsid w:val="00255675"/>
    <w:rsid w:val="00256320"/>
    <w:rsid w:val="002565B4"/>
    <w:rsid w:val="00256FE4"/>
    <w:rsid w:val="0025707B"/>
    <w:rsid w:val="00257496"/>
    <w:rsid w:val="0025762E"/>
    <w:rsid w:val="00257D82"/>
    <w:rsid w:val="00260799"/>
    <w:rsid w:val="00260CF3"/>
    <w:rsid w:val="00260E26"/>
    <w:rsid w:val="00261381"/>
    <w:rsid w:val="00261C1D"/>
    <w:rsid w:val="00261E57"/>
    <w:rsid w:val="00261FBE"/>
    <w:rsid w:val="00262972"/>
    <w:rsid w:val="00262D34"/>
    <w:rsid w:val="0026304A"/>
    <w:rsid w:val="0026306C"/>
    <w:rsid w:val="00263535"/>
    <w:rsid w:val="002636CE"/>
    <w:rsid w:val="00263CFF"/>
    <w:rsid w:val="00264331"/>
    <w:rsid w:val="002644A5"/>
    <w:rsid w:val="0026475E"/>
    <w:rsid w:val="00264A9A"/>
    <w:rsid w:val="00264B5B"/>
    <w:rsid w:val="0026505A"/>
    <w:rsid w:val="00265416"/>
    <w:rsid w:val="00265473"/>
    <w:rsid w:val="00265853"/>
    <w:rsid w:val="00265C9E"/>
    <w:rsid w:val="00265D84"/>
    <w:rsid w:val="00265E3F"/>
    <w:rsid w:val="00266241"/>
    <w:rsid w:val="002665E6"/>
    <w:rsid w:val="0026689B"/>
    <w:rsid w:val="00266B3F"/>
    <w:rsid w:val="00266BD7"/>
    <w:rsid w:val="0026701E"/>
    <w:rsid w:val="002670D8"/>
    <w:rsid w:val="0026728B"/>
    <w:rsid w:val="00267406"/>
    <w:rsid w:val="002705AB"/>
    <w:rsid w:val="002707D1"/>
    <w:rsid w:val="002708E4"/>
    <w:rsid w:val="002712E2"/>
    <w:rsid w:val="00271782"/>
    <w:rsid w:val="00271851"/>
    <w:rsid w:val="0027225A"/>
    <w:rsid w:val="0027265C"/>
    <w:rsid w:val="0027288D"/>
    <w:rsid w:val="00272B80"/>
    <w:rsid w:val="00272BDF"/>
    <w:rsid w:val="0027306C"/>
    <w:rsid w:val="002730A5"/>
    <w:rsid w:val="00273430"/>
    <w:rsid w:val="002734D1"/>
    <w:rsid w:val="002737D8"/>
    <w:rsid w:val="00273CF5"/>
    <w:rsid w:val="00273CF7"/>
    <w:rsid w:val="00273FCC"/>
    <w:rsid w:val="00274366"/>
    <w:rsid w:val="002746D3"/>
    <w:rsid w:val="00274CB8"/>
    <w:rsid w:val="0027507C"/>
    <w:rsid w:val="00275C8C"/>
    <w:rsid w:val="00275F0A"/>
    <w:rsid w:val="00275F96"/>
    <w:rsid w:val="002761BC"/>
    <w:rsid w:val="00276911"/>
    <w:rsid w:val="00276A33"/>
    <w:rsid w:val="0027720F"/>
    <w:rsid w:val="0027741C"/>
    <w:rsid w:val="0027777C"/>
    <w:rsid w:val="00277A2F"/>
    <w:rsid w:val="00277E35"/>
    <w:rsid w:val="00280619"/>
    <w:rsid w:val="00280EFC"/>
    <w:rsid w:val="00282149"/>
    <w:rsid w:val="00282B6D"/>
    <w:rsid w:val="002833D6"/>
    <w:rsid w:val="00283458"/>
    <w:rsid w:val="00283556"/>
    <w:rsid w:val="00283DED"/>
    <w:rsid w:val="0028441A"/>
    <w:rsid w:val="0028470B"/>
    <w:rsid w:val="002849BC"/>
    <w:rsid w:val="00284C76"/>
    <w:rsid w:val="00285007"/>
    <w:rsid w:val="0028525C"/>
    <w:rsid w:val="00285271"/>
    <w:rsid w:val="002853AE"/>
    <w:rsid w:val="00286360"/>
    <w:rsid w:val="002864AD"/>
    <w:rsid w:val="00286B1A"/>
    <w:rsid w:val="00286B8C"/>
    <w:rsid w:val="00286E37"/>
    <w:rsid w:val="00287A7E"/>
    <w:rsid w:val="002908CC"/>
    <w:rsid w:val="00291378"/>
    <w:rsid w:val="0029166B"/>
    <w:rsid w:val="00291696"/>
    <w:rsid w:val="00291782"/>
    <w:rsid w:val="002918A8"/>
    <w:rsid w:val="00291E75"/>
    <w:rsid w:val="0029244B"/>
    <w:rsid w:val="0029283C"/>
    <w:rsid w:val="00292F01"/>
    <w:rsid w:val="00292F0F"/>
    <w:rsid w:val="00293041"/>
    <w:rsid w:val="00293597"/>
    <w:rsid w:val="00293720"/>
    <w:rsid w:val="00293882"/>
    <w:rsid w:val="00293C8C"/>
    <w:rsid w:val="0029406A"/>
    <w:rsid w:val="0029445F"/>
    <w:rsid w:val="00294582"/>
    <w:rsid w:val="00294813"/>
    <w:rsid w:val="00294BFB"/>
    <w:rsid w:val="00294D66"/>
    <w:rsid w:val="0029531D"/>
    <w:rsid w:val="00295801"/>
    <w:rsid w:val="00295D75"/>
    <w:rsid w:val="00296530"/>
    <w:rsid w:val="00296AF9"/>
    <w:rsid w:val="00297358"/>
    <w:rsid w:val="0029745B"/>
    <w:rsid w:val="00297654"/>
    <w:rsid w:val="00297BFC"/>
    <w:rsid w:val="002A01B5"/>
    <w:rsid w:val="002A0621"/>
    <w:rsid w:val="002A0799"/>
    <w:rsid w:val="002A0ABA"/>
    <w:rsid w:val="002A0C06"/>
    <w:rsid w:val="002A0C58"/>
    <w:rsid w:val="002A120E"/>
    <w:rsid w:val="002A1305"/>
    <w:rsid w:val="002A1346"/>
    <w:rsid w:val="002A13FE"/>
    <w:rsid w:val="002A15ED"/>
    <w:rsid w:val="002A2285"/>
    <w:rsid w:val="002A2776"/>
    <w:rsid w:val="002A2904"/>
    <w:rsid w:val="002A2A56"/>
    <w:rsid w:val="002A2AC4"/>
    <w:rsid w:val="002A2DE7"/>
    <w:rsid w:val="002A2E15"/>
    <w:rsid w:val="002A2F47"/>
    <w:rsid w:val="002A304C"/>
    <w:rsid w:val="002A30A7"/>
    <w:rsid w:val="002A33F2"/>
    <w:rsid w:val="002A3549"/>
    <w:rsid w:val="002A3BFD"/>
    <w:rsid w:val="002A3DBB"/>
    <w:rsid w:val="002A414D"/>
    <w:rsid w:val="002A4411"/>
    <w:rsid w:val="002A4873"/>
    <w:rsid w:val="002A4ED1"/>
    <w:rsid w:val="002A506B"/>
    <w:rsid w:val="002A51B0"/>
    <w:rsid w:val="002A5B03"/>
    <w:rsid w:val="002A5E38"/>
    <w:rsid w:val="002A5E99"/>
    <w:rsid w:val="002A6039"/>
    <w:rsid w:val="002A7141"/>
    <w:rsid w:val="002A7416"/>
    <w:rsid w:val="002A75D8"/>
    <w:rsid w:val="002A7689"/>
    <w:rsid w:val="002A776A"/>
    <w:rsid w:val="002B010B"/>
    <w:rsid w:val="002B0489"/>
    <w:rsid w:val="002B1251"/>
    <w:rsid w:val="002B27FE"/>
    <w:rsid w:val="002B2D42"/>
    <w:rsid w:val="002B2D43"/>
    <w:rsid w:val="002B3160"/>
    <w:rsid w:val="002B3238"/>
    <w:rsid w:val="002B3E3C"/>
    <w:rsid w:val="002B411C"/>
    <w:rsid w:val="002B4843"/>
    <w:rsid w:val="002B4901"/>
    <w:rsid w:val="002B4C4D"/>
    <w:rsid w:val="002B4DD9"/>
    <w:rsid w:val="002B4E24"/>
    <w:rsid w:val="002B503C"/>
    <w:rsid w:val="002B5D4D"/>
    <w:rsid w:val="002B5D96"/>
    <w:rsid w:val="002B6195"/>
    <w:rsid w:val="002B6587"/>
    <w:rsid w:val="002B6C11"/>
    <w:rsid w:val="002B6EDD"/>
    <w:rsid w:val="002B77B2"/>
    <w:rsid w:val="002C02D0"/>
    <w:rsid w:val="002C056C"/>
    <w:rsid w:val="002C0741"/>
    <w:rsid w:val="002C1B7A"/>
    <w:rsid w:val="002C1C91"/>
    <w:rsid w:val="002C211E"/>
    <w:rsid w:val="002C22A8"/>
    <w:rsid w:val="002C31FA"/>
    <w:rsid w:val="002C351F"/>
    <w:rsid w:val="002C387E"/>
    <w:rsid w:val="002C3C6B"/>
    <w:rsid w:val="002C3D7C"/>
    <w:rsid w:val="002C3D9E"/>
    <w:rsid w:val="002C413F"/>
    <w:rsid w:val="002C419B"/>
    <w:rsid w:val="002C473F"/>
    <w:rsid w:val="002C4F90"/>
    <w:rsid w:val="002C5442"/>
    <w:rsid w:val="002C589A"/>
    <w:rsid w:val="002C615E"/>
    <w:rsid w:val="002C660A"/>
    <w:rsid w:val="002C6A8A"/>
    <w:rsid w:val="002C76B9"/>
    <w:rsid w:val="002C7DB8"/>
    <w:rsid w:val="002D0C7E"/>
    <w:rsid w:val="002D1584"/>
    <w:rsid w:val="002D1E88"/>
    <w:rsid w:val="002D1EC3"/>
    <w:rsid w:val="002D23CC"/>
    <w:rsid w:val="002D2906"/>
    <w:rsid w:val="002D2C29"/>
    <w:rsid w:val="002D350E"/>
    <w:rsid w:val="002D361B"/>
    <w:rsid w:val="002D3AEE"/>
    <w:rsid w:val="002D3FAE"/>
    <w:rsid w:val="002D4170"/>
    <w:rsid w:val="002D46BE"/>
    <w:rsid w:val="002D4EB9"/>
    <w:rsid w:val="002D5B5F"/>
    <w:rsid w:val="002D5DE5"/>
    <w:rsid w:val="002D5FB4"/>
    <w:rsid w:val="002D6C1A"/>
    <w:rsid w:val="002D71A7"/>
    <w:rsid w:val="002D73D8"/>
    <w:rsid w:val="002D7533"/>
    <w:rsid w:val="002D7615"/>
    <w:rsid w:val="002D775E"/>
    <w:rsid w:val="002D79A3"/>
    <w:rsid w:val="002D7BE3"/>
    <w:rsid w:val="002D7EC8"/>
    <w:rsid w:val="002E00EA"/>
    <w:rsid w:val="002E010A"/>
    <w:rsid w:val="002E0BE6"/>
    <w:rsid w:val="002E0C86"/>
    <w:rsid w:val="002E0FF2"/>
    <w:rsid w:val="002E159F"/>
    <w:rsid w:val="002E2D09"/>
    <w:rsid w:val="002E35E1"/>
    <w:rsid w:val="002E372A"/>
    <w:rsid w:val="002E4245"/>
    <w:rsid w:val="002E45AE"/>
    <w:rsid w:val="002E466C"/>
    <w:rsid w:val="002E4958"/>
    <w:rsid w:val="002E5359"/>
    <w:rsid w:val="002E586F"/>
    <w:rsid w:val="002E59F9"/>
    <w:rsid w:val="002E5B79"/>
    <w:rsid w:val="002E6282"/>
    <w:rsid w:val="002E776A"/>
    <w:rsid w:val="002E7D35"/>
    <w:rsid w:val="002F0221"/>
    <w:rsid w:val="002F0320"/>
    <w:rsid w:val="002F05E3"/>
    <w:rsid w:val="002F06CD"/>
    <w:rsid w:val="002F0D56"/>
    <w:rsid w:val="002F0E44"/>
    <w:rsid w:val="002F1104"/>
    <w:rsid w:val="002F1796"/>
    <w:rsid w:val="002F1C63"/>
    <w:rsid w:val="002F1FAC"/>
    <w:rsid w:val="002F20F9"/>
    <w:rsid w:val="002F2201"/>
    <w:rsid w:val="002F25B7"/>
    <w:rsid w:val="002F28C1"/>
    <w:rsid w:val="002F29B2"/>
    <w:rsid w:val="002F2C92"/>
    <w:rsid w:val="002F2EBD"/>
    <w:rsid w:val="002F34C2"/>
    <w:rsid w:val="002F3780"/>
    <w:rsid w:val="002F4111"/>
    <w:rsid w:val="002F4397"/>
    <w:rsid w:val="002F45DF"/>
    <w:rsid w:val="002F5181"/>
    <w:rsid w:val="002F541F"/>
    <w:rsid w:val="002F5AA9"/>
    <w:rsid w:val="002F5F86"/>
    <w:rsid w:val="002F65BA"/>
    <w:rsid w:val="002F66A2"/>
    <w:rsid w:val="002F6AC8"/>
    <w:rsid w:val="002F70D3"/>
    <w:rsid w:val="002F7376"/>
    <w:rsid w:val="002F742F"/>
    <w:rsid w:val="002F75CE"/>
    <w:rsid w:val="002F7A7A"/>
    <w:rsid w:val="002F7ED6"/>
    <w:rsid w:val="00300322"/>
    <w:rsid w:val="0030033E"/>
    <w:rsid w:val="00300762"/>
    <w:rsid w:val="00300B8C"/>
    <w:rsid w:val="003013B8"/>
    <w:rsid w:val="00301806"/>
    <w:rsid w:val="00301CA7"/>
    <w:rsid w:val="00301D34"/>
    <w:rsid w:val="00301DAA"/>
    <w:rsid w:val="00302CFB"/>
    <w:rsid w:val="00303775"/>
    <w:rsid w:val="00303779"/>
    <w:rsid w:val="00303AEA"/>
    <w:rsid w:val="003041BE"/>
    <w:rsid w:val="00304472"/>
    <w:rsid w:val="00304575"/>
    <w:rsid w:val="00304B4E"/>
    <w:rsid w:val="00304C96"/>
    <w:rsid w:val="00304CE7"/>
    <w:rsid w:val="00304D4E"/>
    <w:rsid w:val="00305E10"/>
    <w:rsid w:val="00305E8B"/>
    <w:rsid w:val="00305F1D"/>
    <w:rsid w:val="003077BB"/>
    <w:rsid w:val="00310833"/>
    <w:rsid w:val="00311026"/>
    <w:rsid w:val="00311501"/>
    <w:rsid w:val="00311922"/>
    <w:rsid w:val="00311A36"/>
    <w:rsid w:val="00312147"/>
    <w:rsid w:val="003121BD"/>
    <w:rsid w:val="003125BF"/>
    <w:rsid w:val="00312C18"/>
    <w:rsid w:val="00312F36"/>
    <w:rsid w:val="0031300A"/>
    <w:rsid w:val="003131B1"/>
    <w:rsid w:val="00313594"/>
    <w:rsid w:val="00313C88"/>
    <w:rsid w:val="00313F8C"/>
    <w:rsid w:val="00315BE8"/>
    <w:rsid w:val="00315E02"/>
    <w:rsid w:val="00315F5B"/>
    <w:rsid w:val="00316172"/>
    <w:rsid w:val="003162E5"/>
    <w:rsid w:val="003165B9"/>
    <w:rsid w:val="00317B00"/>
    <w:rsid w:val="00317D03"/>
    <w:rsid w:val="00320B4D"/>
    <w:rsid w:val="00320F56"/>
    <w:rsid w:val="003217E0"/>
    <w:rsid w:val="003217EF"/>
    <w:rsid w:val="003219DF"/>
    <w:rsid w:val="00321BD4"/>
    <w:rsid w:val="0032248E"/>
    <w:rsid w:val="0032256E"/>
    <w:rsid w:val="0032285E"/>
    <w:rsid w:val="00322E56"/>
    <w:rsid w:val="00322E79"/>
    <w:rsid w:val="003237A1"/>
    <w:rsid w:val="003238E2"/>
    <w:rsid w:val="003240D8"/>
    <w:rsid w:val="003244E0"/>
    <w:rsid w:val="00324893"/>
    <w:rsid w:val="0032495C"/>
    <w:rsid w:val="00324BC5"/>
    <w:rsid w:val="0032574A"/>
    <w:rsid w:val="00325CF1"/>
    <w:rsid w:val="00326020"/>
    <w:rsid w:val="003269E8"/>
    <w:rsid w:val="003279F4"/>
    <w:rsid w:val="00327A91"/>
    <w:rsid w:val="003308CD"/>
    <w:rsid w:val="00330AB5"/>
    <w:rsid w:val="00330AB8"/>
    <w:rsid w:val="00331578"/>
    <w:rsid w:val="003318BD"/>
    <w:rsid w:val="00331DCD"/>
    <w:rsid w:val="00332055"/>
    <w:rsid w:val="00332077"/>
    <w:rsid w:val="003324D3"/>
    <w:rsid w:val="003324D4"/>
    <w:rsid w:val="00332E23"/>
    <w:rsid w:val="00332E3C"/>
    <w:rsid w:val="0033345C"/>
    <w:rsid w:val="003336C3"/>
    <w:rsid w:val="0033378A"/>
    <w:rsid w:val="00333DD2"/>
    <w:rsid w:val="00333E38"/>
    <w:rsid w:val="00333E5F"/>
    <w:rsid w:val="00334218"/>
    <w:rsid w:val="003349CA"/>
    <w:rsid w:val="00334CB9"/>
    <w:rsid w:val="00335215"/>
    <w:rsid w:val="00335307"/>
    <w:rsid w:val="00335886"/>
    <w:rsid w:val="0033622A"/>
    <w:rsid w:val="0033664F"/>
    <w:rsid w:val="0033761D"/>
    <w:rsid w:val="003401A8"/>
    <w:rsid w:val="0034066A"/>
    <w:rsid w:val="00340674"/>
    <w:rsid w:val="003411E7"/>
    <w:rsid w:val="00341A37"/>
    <w:rsid w:val="00341C2F"/>
    <w:rsid w:val="00341D51"/>
    <w:rsid w:val="00342405"/>
    <w:rsid w:val="00342A53"/>
    <w:rsid w:val="00342FE1"/>
    <w:rsid w:val="00343089"/>
    <w:rsid w:val="003430D3"/>
    <w:rsid w:val="00343126"/>
    <w:rsid w:val="0034330F"/>
    <w:rsid w:val="0034389E"/>
    <w:rsid w:val="00343DCD"/>
    <w:rsid w:val="00344153"/>
    <w:rsid w:val="0034418B"/>
    <w:rsid w:val="00344340"/>
    <w:rsid w:val="0034445C"/>
    <w:rsid w:val="0034446E"/>
    <w:rsid w:val="00344AD3"/>
    <w:rsid w:val="00344F14"/>
    <w:rsid w:val="003454B6"/>
    <w:rsid w:val="00345CDC"/>
    <w:rsid w:val="003463B0"/>
    <w:rsid w:val="00346B3B"/>
    <w:rsid w:val="00347E1E"/>
    <w:rsid w:val="00347FD9"/>
    <w:rsid w:val="00350392"/>
    <w:rsid w:val="003503A6"/>
    <w:rsid w:val="00350CF0"/>
    <w:rsid w:val="00350FF6"/>
    <w:rsid w:val="003511B7"/>
    <w:rsid w:val="00351E6B"/>
    <w:rsid w:val="00352478"/>
    <w:rsid w:val="0035270D"/>
    <w:rsid w:val="0035300E"/>
    <w:rsid w:val="0035345C"/>
    <w:rsid w:val="003535BB"/>
    <w:rsid w:val="003537CB"/>
    <w:rsid w:val="003537D6"/>
    <w:rsid w:val="003538C9"/>
    <w:rsid w:val="0035454B"/>
    <w:rsid w:val="00354814"/>
    <w:rsid w:val="00354B44"/>
    <w:rsid w:val="00354FC7"/>
    <w:rsid w:val="003550E6"/>
    <w:rsid w:val="00355683"/>
    <w:rsid w:val="0035662A"/>
    <w:rsid w:val="003567DD"/>
    <w:rsid w:val="00356902"/>
    <w:rsid w:val="00356BD0"/>
    <w:rsid w:val="00356F58"/>
    <w:rsid w:val="00357569"/>
    <w:rsid w:val="00357C45"/>
    <w:rsid w:val="003600AD"/>
    <w:rsid w:val="003604E2"/>
    <w:rsid w:val="0036087F"/>
    <w:rsid w:val="00360B04"/>
    <w:rsid w:val="00360B6F"/>
    <w:rsid w:val="00360E13"/>
    <w:rsid w:val="003611F2"/>
    <w:rsid w:val="00361508"/>
    <w:rsid w:val="00361863"/>
    <w:rsid w:val="003619FA"/>
    <w:rsid w:val="00361F89"/>
    <w:rsid w:val="00362053"/>
    <w:rsid w:val="0036239D"/>
    <w:rsid w:val="00362AD7"/>
    <w:rsid w:val="00362DBB"/>
    <w:rsid w:val="0036360B"/>
    <w:rsid w:val="0036399F"/>
    <w:rsid w:val="00364111"/>
    <w:rsid w:val="00364318"/>
    <w:rsid w:val="003646F1"/>
    <w:rsid w:val="00364FCF"/>
    <w:rsid w:val="00365123"/>
    <w:rsid w:val="00365D45"/>
    <w:rsid w:val="00366659"/>
    <w:rsid w:val="003667A2"/>
    <w:rsid w:val="00366DB1"/>
    <w:rsid w:val="00367092"/>
    <w:rsid w:val="00367923"/>
    <w:rsid w:val="00367AC0"/>
    <w:rsid w:val="00367E38"/>
    <w:rsid w:val="003705AE"/>
    <w:rsid w:val="00370842"/>
    <w:rsid w:val="003715C4"/>
    <w:rsid w:val="00371A5B"/>
    <w:rsid w:val="00371D0F"/>
    <w:rsid w:val="00371E01"/>
    <w:rsid w:val="0037211C"/>
    <w:rsid w:val="00372843"/>
    <w:rsid w:val="003729D1"/>
    <w:rsid w:val="00372D0E"/>
    <w:rsid w:val="00372F9C"/>
    <w:rsid w:val="003742CC"/>
    <w:rsid w:val="00374429"/>
    <w:rsid w:val="003746F6"/>
    <w:rsid w:val="00374CDF"/>
    <w:rsid w:val="003753D7"/>
    <w:rsid w:val="00375572"/>
    <w:rsid w:val="003758DF"/>
    <w:rsid w:val="00375D47"/>
    <w:rsid w:val="00375E0D"/>
    <w:rsid w:val="00375FFC"/>
    <w:rsid w:val="00376138"/>
    <w:rsid w:val="00376281"/>
    <w:rsid w:val="003763D7"/>
    <w:rsid w:val="003766D8"/>
    <w:rsid w:val="00376752"/>
    <w:rsid w:val="00377192"/>
    <w:rsid w:val="00377476"/>
    <w:rsid w:val="00377E44"/>
    <w:rsid w:val="003805B1"/>
    <w:rsid w:val="00380FE1"/>
    <w:rsid w:val="003811F5"/>
    <w:rsid w:val="00381393"/>
    <w:rsid w:val="003818B9"/>
    <w:rsid w:val="0038196D"/>
    <w:rsid w:val="00381AC2"/>
    <w:rsid w:val="00381D47"/>
    <w:rsid w:val="00381F36"/>
    <w:rsid w:val="00381F7B"/>
    <w:rsid w:val="00381FC7"/>
    <w:rsid w:val="00382625"/>
    <w:rsid w:val="003827DB"/>
    <w:rsid w:val="00383691"/>
    <w:rsid w:val="003838FC"/>
    <w:rsid w:val="00383FA8"/>
    <w:rsid w:val="00384700"/>
    <w:rsid w:val="00384900"/>
    <w:rsid w:val="0038528F"/>
    <w:rsid w:val="00385465"/>
    <w:rsid w:val="00385604"/>
    <w:rsid w:val="0038586E"/>
    <w:rsid w:val="00385C4C"/>
    <w:rsid w:val="00385D5A"/>
    <w:rsid w:val="0038608D"/>
    <w:rsid w:val="003862B7"/>
    <w:rsid w:val="0038650E"/>
    <w:rsid w:val="00386C7B"/>
    <w:rsid w:val="00386E7F"/>
    <w:rsid w:val="003872F1"/>
    <w:rsid w:val="003877FC"/>
    <w:rsid w:val="003879C9"/>
    <w:rsid w:val="00387CEC"/>
    <w:rsid w:val="00387DE7"/>
    <w:rsid w:val="0039053C"/>
    <w:rsid w:val="00391288"/>
    <w:rsid w:val="00391E6C"/>
    <w:rsid w:val="003922F0"/>
    <w:rsid w:val="00392360"/>
    <w:rsid w:val="00393173"/>
    <w:rsid w:val="00393A62"/>
    <w:rsid w:val="003941D3"/>
    <w:rsid w:val="00394576"/>
    <w:rsid w:val="00394731"/>
    <w:rsid w:val="00394760"/>
    <w:rsid w:val="00394A8A"/>
    <w:rsid w:val="00394E3A"/>
    <w:rsid w:val="00395134"/>
    <w:rsid w:val="00395289"/>
    <w:rsid w:val="003953BE"/>
    <w:rsid w:val="0039591C"/>
    <w:rsid w:val="00395A77"/>
    <w:rsid w:val="00395F10"/>
    <w:rsid w:val="003966D6"/>
    <w:rsid w:val="003967C0"/>
    <w:rsid w:val="003974D5"/>
    <w:rsid w:val="0039794A"/>
    <w:rsid w:val="00397A44"/>
    <w:rsid w:val="00397B9C"/>
    <w:rsid w:val="00397C2F"/>
    <w:rsid w:val="00397F2A"/>
    <w:rsid w:val="003A0457"/>
    <w:rsid w:val="003A0D54"/>
    <w:rsid w:val="003A1C0D"/>
    <w:rsid w:val="003A2281"/>
    <w:rsid w:val="003A251E"/>
    <w:rsid w:val="003A29DC"/>
    <w:rsid w:val="003A2C35"/>
    <w:rsid w:val="003A34B4"/>
    <w:rsid w:val="003A35E4"/>
    <w:rsid w:val="003A3690"/>
    <w:rsid w:val="003A38E9"/>
    <w:rsid w:val="003A3D2E"/>
    <w:rsid w:val="003A4976"/>
    <w:rsid w:val="003A4A95"/>
    <w:rsid w:val="003A4DE9"/>
    <w:rsid w:val="003A4E6C"/>
    <w:rsid w:val="003A565A"/>
    <w:rsid w:val="003A6049"/>
    <w:rsid w:val="003A656E"/>
    <w:rsid w:val="003A795B"/>
    <w:rsid w:val="003A7B95"/>
    <w:rsid w:val="003A7DA8"/>
    <w:rsid w:val="003B04AC"/>
    <w:rsid w:val="003B0E8E"/>
    <w:rsid w:val="003B127D"/>
    <w:rsid w:val="003B1660"/>
    <w:rsid w:val="003B1970"/>
    <w:rsid w:val="003B1985"/>
    <w:rsid w:val="003B1A98"/>
    <w:rsid w:val="003B1FA8"/>
    <w:rsid w:val="003B2170"/>
    <w:rsid w:val="003B2409"/>
    <w:rsid w:val="003B3224"/>
    <w:rsid w:val="003B32C7"/>
    <w:rsid w:val="003B3C2B"/>
    <w:rsid w:val="003B3DD0"/>
    <w:rsid w:val="003B4691"/>
    <w:rsid w:val="003B47D7"/>
    <w:rsid w:val="003B4DC9"/>
    <w:rsid w:val="003B5142"/>
    <w:rsid w:val="003B54A3"/>
    <w:rsid w:val="003B54CC"/>
    <w:rsid w:val="003B584D"/>
    <w:rsid w:val="003B5862"/>
    <w:rsid w:val="003B5B89"/>
    <w:rsid w:val="003B61C3"/>
    <w:rsid w:val="003B76C9"/>
    <w:rsid w:val="003B7B13"/>
    <w:rsid w:val="003B7E66"/>
    <w:rsid w:val="003C0203"/>
    <w:rsid w:val="003C068E"/>
    <w:rsid w:val="003C087D"/>
    <w:rsid w:val="003C0C70"/>
    <w:rsid w:val="003C1AE1"/>
    <w:rsid w:val="003C2794"/>
    <w:rsid w:val="003C2886"/>
    <w:rsid w:val="003C2B9D"/>
    <w:rsid w:val="003C2C29"/>
    <w:rsid w:val="003C368A"/>
    <w:rsid w:val="003C44B6"/>
    <w:rsid w:val="003C46A3"/>
    <w:rsid w:val="003C507B"/>
    <w:rsid w:val="003C5674"/>
    <w:rsid w:val="003C612B"/>
    <w:rsid w:val="003C61A8"/>
    <w:rsid w:val="003C671C"/>
    <w:rsid w:val="003C6935"/>
    <w:rsid w:val="003C6ADF"/>
    <w:rsid w:val="003C70C5"/>
    <w:rsid w:val="003C7126"/>
    <w:rsid w:val="003C7694"/>
    <w:rsid w:val="003C77CA"/>
    <w:rsid w:val="003C7A2B"/>
    <w:rsid w:val="003C7C03"/>
    <w:rsid w:val="003D0FE1"/>
    <w:rsid w:val="003D10AC"/>
    <w:rsid w:val="003D268D"/>
    <w:rsid w:val="003D29B9"/>
    <w:rsid w:val="003D29F5"/>
    <w:rsid w:val="003D2C06"/>
    <w:rsid w:val="003D2C49"/>
    <w:rsid w:val="003D3085"/>
    <w:rsid w:val="003D33DF"/>
    <w:rsid w:val="003D3D5E"/>
    <w:rsid w:val="003D3EF3"/>
    <w:rsid w:val="003D45EB"/>
    <w:rsid w:val="003D4C06"/>
    <w:rsid w:val="003D4C17"/>
    <w:rsid w:val="003D5650"/>
    <w:rsid w:val="003D5D21"/>
    <w:rsid w:val="003D631F"/>
    <w:rsid w:val="003D63B3"/>
    <w:rsid w:val="003D69C1"/>
    <w:rsid w:val="003D7075"/>
    <w:rsid w:val="003D72F0"/>
    <w:rsid w:val="003D75CF"/>
    <w:rsid w:val="003D7763"/>
    <w:rsid w:val="003D77B2"/>
    <w:rsid w:val="003D7D4D"/>
    <w:rsid w:val="003D7F13"/>
    <w:rsid w:val="003E0623"/>
    <w:rsid w:val="003E0ADA"/>
    <w:rsid w:val="003E0C5C"/>
    <w:rsid w:val="003E19BB"/>
    <w:rsid w:val="003E299B"/>
    <w:rsid w:val="003E2A20"/>
    <w:rsid w:val="003E380F"/>
    <w:rsid w:val="003E395D"/>
    <w:rsid w:val="003E4313"/>
    <w:rsid w:val="003E49B6"/>
    <w:rsid w:val="003E4A3B"/>
    <w:rsid w:val="003E4ED9"/>
    <w:rsid w:val="003E559F"/>
    <w:rsid w:val="003E57EE"/>
    <w:rsid w:val="003E5999"/>
    <w:rsid w:val="003E5B69"/>
    <w:rsid w:val="003E6FFB"/>
    <w:rsid w:val="003E73AC"/>
    <w:rsid w:val="003E7A40"/>
    <w:rsid w:val="003E7AD1"/>
    <w:rsid w:val="003E7EF4"/>
    <w:rsid w:val="003F02B2"/>
    <w:rsid w:val="003F07AB"/>
    <w:rsid w:val="003F0970"/>
    <w:rsid w:val="003F0C51"/>
    <w:rsid w:val="003F1308"/>
    <w:rsid w:val="003F13D5"/>
    <w:rsid w:val="003F1649"/>
    <w:rsid w:val="003F1A6A"/>
    <w:rsid w:val="003F1E6A"/>
    <w:rsid w:val="003F1EBB"/>
    <w:rsid w:val="003F2198"/>
    <w:rsid w:val="003F2281"/>
    <w:rsid w:val="003F2571"/>
    <w:rsid w:val="003F26DD"/>
    <w:rsid w:val="003F276C"/>
    <w:rsid w:val="003F2FEE"/>
    <w:rsid w:val="003F326E"/>
    <w:rsid w:val="003F394C"/>
    <w:rsid w:val="003F3C70"/>
    <w:rsid w:val="003F3D2F"/>
    <w:rsid w:val="003F5668"/>
    <w:rsid w:val="003F56DA"/>
    <w:rsid w:val="003F57F0"/>
    <w:rsid w:val="003F5BED"/>
    <w:rsid w:val="003F5EC3"/>
    <w:rsid w:val="003F5F79"/>
    <w:rsid w:val="003F629C"/>
    <w:rsid w:val="003F6312"/>
    <w:rsid w:val="003F6EDA"/>
    <w:rsid w:val="003F732E"/>
    <w:rsid w:val="003F76C6"/>
    <w:rsid w:val="003F76C9"/>
    <w:rsid w:val="003F7AA4"/>
    <w:rsid w:val="003F7F1A"/>
    <w:rsid w:val="004002F3"/>
    <w:rsid w:val="0040041D"/>
    <w:rsid w:val="00400C6E"/>
    <w:rsid w:val="00400F43"/>
    <w:rsid w:val="004017AC"/>
    <w:rsid w:val="00401CBF"/>
    <w:rsid w:val="0040237A"/>
    <w:rsid w:val="00402550"/>
    <w:rsid w:val="0040289A"/>
    <w:rsid w:val="00402CFB"/>
    <w:rsid w:val="004032C1"/>
    <w:rsid w:val="004037ED"/>
    <w:rsid w:val="004039C8"/>
    <w:rsid w:val="00403E0F"/>
    <w:rsid w:val="00403FED"/>
    <w:rsid w:val="0040517C"/>
    <w:rsid w:val="00405318"/>
    <w:rsid w:val="00405DB9"/>
    <w:rsid w:val="00405F82"/>
    <w:rsid w:val="00406019"/>
    <w:rsid w:val="004063EC"/>
    <w:rsid w:val="004068F2"/>
    <w:rsid w:val="00406EB9"/>
    <w:rsid w:val="0040750B"/>
    <w:rsid w:val="00407999"/>
    <w:rsid w:val="004100FF"/>
    <w:rsid w:val="004102C0"/>
    <w:rsid w:val="00410590"/>
    <w:rsid w:val="00410740"/>
    <w:rsid w:val="004109B1"/>
    <w:rsid w:val="00410B1C"/>
    <w:rsid w:val="00410BC4"/>
    <w:rsid w:val="00410D51"/>
    <w:rsid w:val="00411035"/>
    <w:rsid w:val="004114CA"/>
    <w:rsid w:val="0041174A"/>
    <w:rsid w:val="004119FA"/>
    <w:rsid w:val="00411D04"/>
    <w:rsid w:val="00411DF1"/>
    <w:rsid w:val="0041227E"/>
    <w:rsid w:val="00412AFB"/>
    <w:rsid w:val="00412BD1"/>
    <w:rsid w:val="00412F7A"/>
    <w:rsid w:val="00413719"/>
    <w:rsid w:val="00413A84"/>
    <w:rsid w:val="00413E33"/>
    <w:rsid w:val="00413F3E"/>
    <w:rsid w:val="00413FCD"/>
    <w:rsid w:val="00414831"/>
    <w:rsid w:val="0041497F"/>
    <w:rsid w:val="00414B1F"/>
    <w:rsid w:val="00414EE2"/>
    <w:rsid w:val="00415C5B"/>
    <w:rsid w:val="00415DA8"/>
    <w:rsid w:val="004172F6"/>
    <w:rsid w:val="0041761F"/>
    <w:rsid w:val="00417DA8"/>
    <w:rsid w:val="00420BB4"/>
    <w:rsid w:val="00420D3E"/>
    <w:rsid w:val="0042139B"/>
    <w:rsid w:val="004222ED"/>
    <w:rsid w:val="00422DF3"/>
    <w:rsid w:val="00422F1D"/>
    <w:rsid w:val="004238EB"/>
    <w:rsid w:val="004239CC"/>
    <w:rsid w:val="00424286"/>
    <w:rsid w:val="004244AF"/>
    <w:rsid w:val="00424C43"/>
    <w:rsid w:val="00424D22"/>
    <w:rsid w:val="00425A69"/>
    <w:rsid w:val="00425A79"/>
    <w:rsid w:val="004260C0"/>
    <w:rsid w:val="00426154"/>
    <w:rsid w:val="004263F9"/>
    <w:rsid w:val="004266FA"/>
    <w:rsid w:val="00426934"/>
    <w:rsid w:val="00426C49"/>
    <w:rsid w:val="00427756"/>
    <w:rsid w:val="00427A47"/>
    <w:rsid w:val="00430122"/>
    <w:rsid w:val="004305EE"/>
    <w:rsid w:val="00430C9B"/>
    <w:rsid w:val="00430F68"/>
    <w:rsid w:val="004310CF"/>
    <w:rsid w:val="0043122C"/>
    <w:rsid w:val="00431965"/>
    <w:rsid w:val="00431C91"/>
    <w:rsid w:val="00431EFF"/>
    <w:rsid w:val="004321DD"/>
    <w:rsid w:val="004331D3"/>
    <w:rsid w:val="00433569"/>
    <w:rsid w:val="004336A2"/>
    <w:rsid w:val="00433D8B"/>
    <w:rsid w:val="00434C23"/>
    <w:rsid w:val="00434C94"/>
    <w:rsid w:val="00434CD5"/>
    <w:rsid w:val="00434CE5"/>
    <w:rsid w:val="004358EA"/>
    <w:rsid w:val="00435AFC"/>
    <w:rsid w:val="00435FB3"/>
    <w:rsid w:val="00435FDB"/>
    <w:rsid w:val="00436060"/>
    <w:rsid w:val="00437063"/>
    <w:rsid w:val="004370E0"/>
    <w:rsid w:val="004376E0"/>
    <w:rsid w:val="004376FB"/>
    <w:rsid w:val="00437741"/>
    <w:rsid w:val="00437ACF"/>
    <w:rsid w:val="00437C1E"/>
    <w:rsid w:val="0044035E"/>
    <w:rsid w:val="00440A1C"/>
    <w:rsid w:val="00441528"/>
    <w:rsid w:val="004421BD"/>
    <w:rsid w:val="004424B9"/>
    <w:rsid w:val="00442592"/>
    <w:rsid w:val="004437D7"/>
    <w:rsid w:val="00443A93"/>
    <w:rsid w:val="00443F87"/>
    <w:rsid w:val="004440A9"/>
    <w:rsid w:val="00444699"/>
    <w:rsid w:val="004449F6"/>
    <w:rsid w:val="00444B77"/>
    <w:rsid w:val="00445AB1"/>
    <w:rsid w:val="00445CE3"/>
    <w:rsid w:val="00445EDA"/>
    <w:rsid w:val="00446256"/>
    <w:rsid w:val="00446F9E"/>
    <w:rsid w:val="004471E5"/>
    <w:rsid w:val="00447B1E"/>
    <w:rsid w:val="00447D89"/>
    <w:rsid w:val="004505FF"/>
    <w:rsid w:val="00450910"/>
    <w:rsid w:val="00450B62"/>
    <w:rsid w:val="00450CAA"/>
    <w:rsid w:val="00451076"/>
    <w:rsid w:val="004512D3"/>
    <w:rsid w:val="00451440"/>
    <w:rsid w:val="0045144E"/>
    <w:rsid w:val="00451BF1"/>
    <w:rsid w:val="00452000"/>
    <w:rsid w:val="0045229B"/>
    <w:rsid w:val="004523D7"/>
    <w:rsid w:val="00452F31"/>
    <w:rsid w:val="00453172"/>
    <w:rsid w:val="00453D1A"/>
    <w:rsid w:val="00454D86"/>
    <w:rsid w:val="00454ECA"/>
    <w:rsid w:val="00455247"/>
    <w:rsid w:val="00455301"/>
    <w:rsid w:val="0045542C"/>
    <w:rsid w:val="00455FF8"/>
    <w:rsid w:val="00456309"/>
    <w:rsid w:val="00456418"/>
    <w:rsid w:val="00456897"/>
    <w:rsid w:val="0045731B"/>
    <w:rsid w:val="00457D43"/>
    <w:rsid w:val="00457F0C"/>
    <w:rsid w:val="004604C3"/>
    <w:rsid w:val="004604D8"/>
    <w:rsid w:val="00460754"/>
    <w:rsid w:val="00460C8A"/>
    <w:rsid w:val="00460D01"/>
    <w:rsid w:val="00461019"/>
    <w:rsid w:val="004612AC"/>
    <w:rsid w:val="004616E3"/>
    <w:rsid w:val="00461B66"/>
    <w:rsid w:val="0046210A"/>
    <w:rsid w:val="0046253C"/>
    <w:rsid w:val="0046280A"/>
    <w:rsid w:val="004628F1"/>
    <w:rsid w:val="00462E39"/>
    <w:rsid w:val="00462ECC"/>
    <w:rsid w:val="004632D6"/>
    <w:rsid w:val="00463529"/>
    <w:rsid w:val="00463783"/>
    <w:rsid w:val="00463854"/>
    <w:rsid w:val="00463FE0"/>
    <w:rsid w:val="00464675"/>
    <w:rsid w:val="00464A25"/>
    <w:rsid w:val="00464B81"/>
    <w:rsid w:val="00464D1E"/>
    <w:rsid w:val="0046500B"/>
    <w:rsid w:val="00467426"/>
    <w:rsid w:val="0046761C"/>
    <w:rsid w:val="0047005E"/>
    <w:rsid w:val="00470310"/>
    <w:rsid w:val="0047063B"/>
    <w:rsid w:val="00470881"/>
    <w:rsid w:val="00470AA4"/>
    <w:rsid w:val="00470B43"/>
    <w:rsid w:val="00471170"/>
    <w:rsid w:val="00471198"/>
    <w:rsid w:val="00471BB8"/>
    <w:rsid w:val="00472070"/>
    <w:rsid w:val="00472097"/>
    <w:rsid w:val="004735A4"/>
    <w:rsid w:val="004739B0"/>
    <w:rsid w:val="00473F0D"/>
    <w:rsid w:val="00474EBE"/>
    <w:rsid w:val="00474FD4"/>
    <w:rsid w:val="00475571"/>
    <w:rsid w:val="0047588E"/>
    <w:rsid w:val="004758E5"/>
    <w:rsid w:val="00475CB5"/>
    <w:rsid w:val="004763A2"/>
    <w:rsid w:val="00476D4B"/>
    <w:rsid w:val="00476E7D"/>
    <w:rsid w:val="00476F4A"/>
    <w:rsid w:val="004773A5"/>
    <w:rsid w:val="0047765D"/>
    <w:rsid w:val="004779E5"/>
    <w:rsid w:val="00477D44"/>
    <w:rsid w:val="0048042A"/>
    <w:rsid w:val="004808E6"/>
    <w:rsid w:val="00480F81"/>
    <w:rsid w:val="004810BE"/>
    <w:rsid w:val="004811DA"/>
    <w:rsid w:val="00481366"/>
    <w:rsid w:val="004814D5"/>
    <w:rsid w:val="00481627"/>
    <w:rsid w:val="00481687"/>
    <w:rsid w:val="00481741"/>
    <w:rsid w:val="00481788"/>
    <w:rsid w:val="0048234D"/>
    <w:rsid w:val="00482429"/>
    <w:rsid w:val="004825EA"/>
    <w:rsid w:val="0048268C"/>
    <w:rsid w:val="00482E54"/>
    <w:rsid w:val="00482E9E"/>
    <w:rsid w:val="00483821"/>
    <w:rsid w:val="0048391F"/>
    <w:rsid w:val="00483BA1"/>
    <w:rsid w:val="00484123"/>
    <w:rsid w:val="0048415B"/>
    <w:rsid w:val="004847CC"/>
    <w:rsid w:val="00484932"/>
    <w:rsid w:val="00484D2D"/>
    <w:rsid w:val="00484D9C"/>
    <w:rsid w:val="00484E83"/>
    <w:rsid w:val="00485AF6"/>
    <w:rsid w:val="00485B35"/>
    <w:rsid w:val="00485FA8"/>
    <w:rsid w:val="00485FA9"/>
    <w:rsid w:val="00486725"/>
    <w:rsid w:val="00486851"/>
    <w:rsid w:val="00486CCD"/>
    <w:rsid w:val="00486D9C"/>
    <w:rsid w:val="004878F0"/>
    <w:rsid w:val="00487BEA"/>
    <w:rsid w:val="00487CD3"/>
    <w:rsid w:val="004907B4"/>
    <w:rsid w:val="00490BE5"/>
    <w:rsid w:val="00491492"/>
    <w:rsid w:val="004915ED"/>
    <w:rsid w:val="00491ADD"/>
    <w:rsid w:val="00491D38"/>
    <w:rsid w:val="004927D5"/>
    <w:rsid w:val="004933E5"/>
    <w:rsid w:val="004936FE"/>
    <w:rsid w:val="00493895"/>
    <w:rsid w:val="00493D63"/>
    <w:rsid w:val="00493D6E"/>
    <w:rsid w:val="00494068"/>
    <w:rsid w:val="004947C1"/>
    <w:rsid w:val="00494DBB"/>
    <w:rsid w:val="00494FF2"/>
    <w:rsid w:val="0049553D"/>
    <w:rsid w:val="00495E75"/>
    <w:rsid w:val="0049659D"/>
    <w:rsid w:val="0049667A"/>
    <w:rsid w:val="004966C6"/>
    <w:rsid w:val="00496836"/>
    <w:rsid w:val="004968D8"/>
    <w:rsid w:val="00496DFF"/>
    <w:rsid w:val="004974ED"/>
    <w:rsid w:val="00497542"/>
    <w:rsid w:val="0049795A"/>
    <w:rsid w:val="00497C76"/>
    <w:rsid w:val="00497F3A"/>
    <w:rsid w:val="00497FEE"/>
    <w:rsid w:val="004A104F"/>
    <w:rsid w:val="004A1568"/>
    <w:rsid w:val="004A1632"/>
    <w:rsid w:val="004A185F"/>
    <w:rsid w:val="004A1A35"/>
    <w:rsid w:val="004A1EE5"/>
    <w:rsid w:val="004A31ED"/>
    <w:rsid w:val="004A46B0"/>
    <w:rsid w:val="004A49D6"/>
    <w:rsid w:val="004A4B8A"/>
    <w:rsid w:val="004A4CDC"/>
    <w:rsid w:val="004A5084"/>
    <w:rsid w:val="004A510B"/>
    <w:rsid w:val="004A5787"/>
    <w:rsid w:val="004A68BC"/>
    <w:rsid w:val="004A7014"/>
    <w:rsid w:val="004A7286"/>
    <w:rsid w:val="004A72B0"/>
    <w:rsid w:val="004A750B"/>
    <w:rsid w:val="004A7753"/>
    <w:rsid w:val="004A78D1"/>
    <w:rsid w:val="004A7A44"/>
    <w:rsid w:val="004A7E0A"/>
    <w:rsid w:val="004B0402"/>
    <w:rsid w:val="004B04E3"/>
    <w:rsid w:val="004B06FD"/>
    <w:rsid w:val="004B0D0D"/>
    <w:rsid w:val="004B1713"/>
    <w:rsid w:val="004B1BCA"/>
    <w:rsid w:val="004B2949"/>
    <w:rsid w:val="004B3691"/>
    <w:rsid w:val="004B37C8"/>
    <w:rsid w:val="004B3D7F"/>
    <w:rsid w:val="004B3E12"/>
    <w:rsid w:val="004B41A6"/>
    <w:rsid w:val="004B44B1"/>
    <w:rsid w:val="004B44EF"/>
    <w:rsid w:val="004B4623"/>
    <w:rsid w:val="004B4C81"/>
    <w:rsid w:val="004B4D9D"/>
    <w:rsid w:val="004B4FEE"/>
    <w:rsid w:val="004B5825"/>
    <w:rsid w:val="004B58A1"/>
    <w:rsid w:val="004B5BB8"/>
    <w:rsid w:val="004B5EED"/>
    <w:rsid w:val="004B6C6B"/>
    <w:rsid w:val="004B6D70"/>
    <w:rsid w:val="004B6D9A"/>
    <w:rsid w:val="004B7292"/>
    <w:rsid w:val="004B7421"/>
    <w:rsid w:val="004B7B33"/>
    <w:rsid w:val="004C0E81"/>
    <w:rsid w:val="004C125B"/>
    <w:rsid w:val="004C16B6"/>
    <w:rsid w:val="004C238D"/>
    <w:rsid w:val="004C2638"/>
    <w:rsid w:val="004C3211"/>
    <w:rsid w:val="004C35D2"/>
    <w:rsid w:val="004C4024"/>
    <w:rsid w:val="004C495C"/>
    <w:rsid w:val="004C4A07"/>
    <w:rsid w:val="004C5803"/>
    <w:rsid w:val="004C59B3"/>
    <w:rsid w:val="004C5C84"/>
    <w:rsid w:val="004C6338"/>
    <w:rsid w:val="004C65EB"/>
    <w:rsid w:val="004C68BC"/>
    <w:rsid w:val="004C6B0F"/>
    <w:rsid w:val="004C702E"/>
    <w:rsid w:val="004C75EC"/>
    <w:rsid w:val="004C7609"/>
    <w:rsid w:val="004D06BB"/>
    <w:rsid w:val="004D0857"/>
    <w:rsid w:val="004D0B8E"/>
    <w:rsid w:val="004D13F2"/>
    <w:rsid w:val="004D1FA2"/>
    <w:rsid w:val="004D2584"/>
    <w:rsid w:val="004D28A3"/>
    <w:rsid w:val="004D29F7"/>
    <w:rsid w:val="004D33AD"/>
    <w:rsid w:val="004D3782"/>
    <w:rsid w:val="004D3A36"/>
    <w:rsid w:val="004D3CF8"/>
    <w:rsid w:val="004D47BA"/>
    <w:rsid w:val="004D4A81"/>
    <w:rsid w:val="004D566E"/>
    <w:rsid w:val="004D5E8F"/>
    <w:rsid w:val="004D660D"/>
    <w:rsid w:val="004D6A17"/>
    <w:rsid w:val="004D79B6"/>
    <w:rsid w:val="004E01FF"/>
    <w:rsid w:val="004E05C8"/>
    <w:rsid w:val="004E065B"/>
    <w:rsid w:val="004E0758"/>
    <w:rsid w:val="004E07AF"/>
    <w:rsid w:val="004E0835"/>
    <w:rsid w:val="004E18B7"/>
    <w:rsid w:val="004E1F5F"/>
    <w:rsid w:val="004E39FA"/>
    <w:rsid w:val="004E3BA7"/>
    <w:rsid w:val="004E3D04"/>
    <w:rsid w:val="004E4044"/>
    <w:rsid w:val="004E4603"/>
    <w:rsid w:val="004E47A4"/>
    <w:rsid w:val="004E55A2"/>
    <w:rsid w:val="004E65B8"/>
    <w:rsid w:val="004F0623"/>
    <w:rsid w:val="004F10A9"/>
    <w:rsid w:val="004F1169"/>
    <w:rsid w:val="004F141B"/>
    <w:rsid w:val="004F16E2"/>
    <w:rsid w:val="004F18A4"/>
    <w:rsid w:val="004F1919"/>
    <w:rsid w:val="004F1AD3"/>
    <w:rsid w:val="004F1EED"/>
    <w:rsid w:val="004F1FD3"/>
    <w:rsid w:val="004F25B4"/>
    <w:rsid w:val="004F28B9"/>
    <w:rsid w:val="004F2D20"/>
    <w:rsid w:val="004F2ED7"/>
    <w:rsid w:val="004F3471"/>
    <w:rsid w:val="004F400F"/>
    <w:rsid w:val="004F441E"/>
    <w:rsid w:val="004F4537"/>
    <w:rsid w:val="004F4AE5"/>
    <w:rsid w:val="004F4D39"/>
    <w:rsid w:val="004F550B"/>
    <w:rsid w:val="004F5A48"/>
    <w:rsid w:val="004F5FD5"/>
    <w:rsid w:val="004F6626"/>
    <w:rsid w:val="004F6668"/>
    <w:rsid w:val="004F6B74"/>
    <w:rsid w:val="004F7A6E"/>
    <w:rsid w:val="00500472"/>
    <w:rsid w:val="0050061C"/>
    <w:rsid w:val="00500A4D"/>
    <w:rsid w:val="0050102B"/>
    <w:rsid w:val="0050120A"/>
    <w:rsid w:val="005016A7"/>
    <w:rsid w:val="00502837"/>
    <w:rsid w:val="00502A1A"/>
    <w:rsid w:val="00502BC2"/>
    <w:rsid w:val="00502EF6"/>
    <w:rsid w:val="005030DE"/>
    <w:rsid w:val="005033A2"/>
    <w:rsid w:val="00503AD1"/>
    <w:rsid w:val="005040AF"/>
    <w:rsid w:val="0050462C"/>
    <w:rsid w:val="005047CB"/>
    <w:rsid w:val="005050DC"/>
    <w:rsid w:val="005057A3"/>
    <w:rsid w:val="0050581D"/>
    <w:rsid w:val="005061B3"/>
    <w:rsid w:val="00506336"/>
    <w:rsid w:val="0050639D"/>
    <w:rsid w:val="0050659F"/>
    <w:rsid w:val="00506685"/>
    <w:rsid w:val="005066F2"/>
    <w:rsid w:val="00506780"/>
    <w:rsid w:val="00506AFD"/>
    <w:rsid w:val="00507855"/>
    <w:rsid w:val="00511DCA"/>
    <w:rsid w:val="00511E4E"/>
    <w:rsid w:val="005121DB"/>
    <w:rsid w:val="00512861"/>
    <w:rsid w:val="00512887"/>
    <w:rsid w:val="0051299E"/>
    <w:rsid w:val="00512BF6"/>
    <w:rsid w:val="005130D2"/>
    <w:rsid w:val="00513E1C"/>
    <w:rsid w:val="00514073"/>
    <w:rsid w:val="00514771"/>
    <w:rsid w:val="00514A31"/>
    <w:rsid w:val="00514A84"/>
    <w:rsid w:val="0051535C"/>
    <w:rsid w:val="00515A47"/>
    <w:rsid w:val="00515A72"/>
    <w:rsid w:val="005160D6"/>
    <w:rsid w:val="005160EE"/>
    <w:rsid w:val="0051627F"/>
    <w:rsid w:val="005165FF"/>
    <w:rsid w:val="0051702D"/>
    <w:rsid w:val="00517115"/>
    <w:rsid w:val="005174EF"/>
    <w:rsid w:val="00520487"/>
    <w:rsid w:val="00521584"/>
    <w:rsid w:val="005222C4"/>
    <w:rsid w:val="00522404"/>
    <w:rsid w:val="005224E8"/>
    <w:rsid w:val="00522B55"/>
    <w:rsid w:val="00522E11"/>
    <w:rsid w:val="00522FD2"/>
    <w:rsid w:val="00523528"/>
    <w:rsid w:val="005235AE"/>
    <w:rsid w:val="0052380B"/>
    <w:rsid w:val="00523A0A"/>
    <w:rsid w:val="00523CA5"/>
    <w:rsid w:val="00523EBE"/>
    <w:rsid w:val="00524355"/>
    <w:rsid w:val="0052450D"/>
    <w:rsid w:val="00524622"/>
    <w:rsid w:val="00524C05"/>
    <w:rsid w:val="00524F42"/>
    <w:rsid w:val="0052501E"/>
    <w:rsid w:val="00525738"/>
    <w:rsid w:val="00525795"/>
    <w:rsid w:val="0052594B"/>
    <w:rsid w:val="00525ACD"/>
    <w:rsid w:val="0052687F"/>
    <w:rsid w:val="00526BAE"/>
    <w:rsid w:val="00527306"/>
    <w:rsid w:val="0052781D"/>
    <w:rsid w:val="00527838"/>
    <w:rsid w:val="00530CFA"/>
    <w:rsid w:val="00530FEF"/>
    <w:rsid w:val="005310B9"/>
    <w:rsid w:val="00531419"/>
    <w:rsid w:val="005316BD"/>
    <w:rsid w:val="00531EEF"/>
    <w:rsid w:val="00531F4B"/>
    <w:rsid w:val="005339DD"/>
    <w:rsid w:val="00534253"/>
    <w:rsid w:val="00534F73"/>
    <w:rsid w:val="00535479"/>
    <w:rsid w:val="00535DC7"/>
    <w:rsid w:val="0053610C"/>
    <w:rsid w:val="00536B11"/>
    <w:rsid w:val="00536EE9"/>
    <w:rsid w:val="0053748B"/>
    <w:rsid w:val="005374B7"/>
    <w:rsid w:val="00537572"/>
    <w:rsid w:val="00537612"/>
    <w:rsid w:val="00537B21"/>
    <w:rsid w:val="00537BAF"/>
    <w:rsid w:val="0054021C"/>
    <w:rsid w:val="0054029D"/>
    <w:rsid w:val="005403CC"/>
    <w:rsid w:val="00540A30"/>
    <w:rsid w:val="005417B1"/>
    <w:rsid w:val="0054182B"/>
    <w:rsid w:val="00541B51"/>
    <w:rsid w:val="00541BB3"/>
    <w:rsid w:val="00541CFF"/>
    <w:rsid w:val="00541D64"/>
    <w:rsid w:val="00541EEB"/>
    <w:rsid w:val="00542138"/>
    <w:rsid w:val="005425DB"/>
    <w:rsid w:val="005426A2"/>
    <w:rsid w:val="0054340A"/>
    <w:rsid w:val="0054371F"/>
    <w:rsid w:val="00543867"/>
    <w:rsid w:val="00543E30"/>
    <w:rsid w:val="00543F4A"/>
    <w:rsid w:val="005445E6"/>
    <w:rsid w:val="00544BC4"/>
    <w:rsid w:val="00544D84"/>
    <w:rsid w:val="00544DC5"/>
    <w:rsid w:val="00545529"/>
    <w:rsid w:val="00545D87"/>
    <w:rsid w:val="0054609E"/>
    <w:rsid w:val="005461C5"/>
    <w:rsid w:val="005469B6"/>
    <w:rsid w:val="00546EA5"/>
    <w:rsid w:val="00547461"/>
    <w:rsid w:val="005478D8"/>
    <w:rsid w:val="00550576"/>
    <w:rsid w:val="00550941"/>
    <w:rsid w:val="00550BC7"/>
    <w:rsid w:val="005517F3"/>
    <w:rsid w:val="00551A9F"/>
    <w:rsid w:val="00551B49"/>
    <w:rsid w:val="00552930"/>
    <w:rsid w:val="00552FB9"/>
    <w:rsid w:val="00553112"/>
    <w:rsid w:val="0055325B"/>
    <w:rsid w:val="00553330"/>
    <w:rsid w:val="005533FF"/>
    <w:rsid w:val="00553515"/>
    <w:rsid w:val="005535A4"/>
    <w:rsid w:val="005544F8"/>
    <w:rsid w:val="005546F3"/>
    <w:rsid w:val="00554820"/>
    <w:rsid w:val="00554F0E"/>
    <w:rsid w:val="005550FB"/>
    <w:rsid w:val="00555195"/>
    <w:rsid w:val="005551DB"/>
    <w:rsid w:val="005553A7"/>
    <w:rsid w:val="005555EC"/>
    <w:rsid w:val="00555AC3"/>
    <w:rsid w:val="0055712B"/>
    <w:rsid w:val="005573C8"/>
    <w:rsid w:val="0055778B"/>
    <w:rsid w:val="00557DC2"/>
    <w:rsid w:val="00557EF9"/>
    <w:rsid w:val="00557F85"/>
    <w:rsid w:val="00557FA4"/>
    <w:rsid w:val="00560433"/>
    <w:rsid w:val="00560EAC"/>
    <w:rsid w:val="0056109C"/>
    <w:rsid w:val="005610E3"/>
    <w:rsid w:val="0056131F"/>
    <w:rsid w:val="00561C4B"/>
    <w:rsid w:val="00561C61"/>
    <w:rsid w:val="00562372"/>
    <w:rsid w:val="005623A6"/>
    <w:rsid w:val="00562930"/>
    <w:rsid w:val="00562965"/>
    <w:rsid w:val="005629E8"/>
    <w:rsid w:val="00562EAB"/>
    <w:rsid w:val="005634D0"/>
    <w:rsid w:val="0056391C"/>
    <w:rsid w:val="005643C6"/>
    <w:rsid w:val="005646CA"/>
    <w:rsid w:val="00564840"/>
    <w:rsid w:val="005649F5"/>
    <w:rsid w:val="00564AA4"/>
    <w:rsid w:val="00564D39"/>
    <w:rsid w:val="00565168"/>
    <w:rsid w:val="005668D7"/>
    <w:rsid w:val="00566A74"/>
    <w:rsid w:val="00566BE9"/>
    <w:rsid w:val="00566FCA"/>
    <w:rsid w:val="00567B7C"/>
    <w:rsid w:val="005700A9"/>
    <w:rsid w:val="005700F8"/>
    <w:rsid w:val="005701C8"/>
    <w:rsid w:val="00570BD0"/>
    <w:rsid w:val="00570E41"/>
    <w:rsid w:val="00571405"/>
    <w:rsid w:val="005714C7"/>
    <w:rsid w:val="005714E7"/>
    <w:rsid w:val="0057229E"/>
    <w:rsid w:val="00572973"/>
    <w:rsid w:val="00572BBF"/>
    <w:rsid w:val="00573188"/>
    <w:rsid w:val="00573341"/>
    <w:rsid w:val="00573B2E"/>
    <w:rsid w:val="00573CAA"/>
    <w:rsid w:val="00573DFD"/>
    <w:rsid w:val="005741CC"/>
    <w:rsid w:val="0057563F"/>
    <w:rsid w:val="00575B89"/>
    <w:rsid w:val="005763BB"/>
    <w:rsid w:val="00576868"/>
    <w:rsid w:val="005769CB"/>
    <w:rsid w:val="00576CBA"/>
    <w:rsid w:val="005778B5"/>
    <w:rsid w:val="00577BFE"/>
    <w:rsid w:val="00580035"/>
    <w:rsid w:val="005804E9"/>
    <w:rsid w:val="00580932"/>
    <w:rsid w:val="005811DA"/>
    <w:rsid w:val="00581356"/>
    <w:rsid w:val="00581AF7"/>
    <w:rsid w:val="00581D10"/>
    <w:rsid w:val="0058242B"/>
    <w:rsid w:val="00582523"/>
    <w:rsid w:val="00582BBC"/>
    <w:rsid w:val="00582E3E"/>
    <w:rsid w:val="00583286"/>
    <w:rsid w:val="005834E8"/>
    <w:rsid w:val="00583537"/>
    <w:rsid w:val="00583548"/>
    <w:rsid w:val="005835A0"/>
    <w:rsid w:val="00583A75"/>
    <w:rsid w:val="005841D9"/>
    <w:rsid w:val="005843C5"/>
    <w:rsid w:val="00585210"/>
    <w:rsid w:val="00585232"/>
    <w:rsid w:val="00585558"/>
    <w:rsid w:val="005856DB"/>
    <w:rsid w:val="005858DD"/>
    <w:rsid w:val="00585A2E"/>
    <w:rsid w:val="00585D43"/>
    <w:rsid w:val="00585DE5"/>
    <w:rsid w:val="00585F7C"/>
    <w:rsid w:val="00585F92"/>
    <w:rsid w:val="005861E0"/>
    <w:rsid w:val="0058628C"/>
    <w:rsid w:val="005868B4"/>
    <w:rsid w:val="005870F1"/>
    <w:rsid w:val="00587471"/>
    <w:rsid w:val="00587B8A"/>
    <w:rsid w:val="00587D6D"/>
    <w:rsid w:val="005901B7"/>
    <w:rsid w:val="00590276"/>
    <w:rsid w:val="00590886"/>
    <w:rsid w:val="00590EDF"/>
    <w:rsid w:val="00591687"/>
    <w:rsid w:val="00592331"/>
    <w:rsid w:val="00592446"/>
    <w:rsid w:val="005926D9"/>
    <w:rsid w:val="00592795"/>
    <w:rsid w:val="00593518"/>
    <w:rsid w:val="0059363B"/>
    <w:rsid w:val="005938C2"/>
    <w:rsid w:val="00593B26"/>
    <w:rsid w:val="00593EAF"/>
    <w:rsid w:val="0059565C"/>
    <w:rsid w:val="0059696F"/>
    <w:rsid w:val="00596BD6"/>
    <w:rsid w:val="00596F13"/>
    <w:rsid w:val="00596FD3"/>
    <w:rsid w:val="005975AB"/>
    <w:rsid w:val="0059761E"/>
    <w:rsid w:val="00597DD4"/>
    <w:rsid w:val="00597F67"/>
    <w:rsid w:val="005A005E"/>
    <w:rsid w:val="005A0746"/>
    <w:rsid w:val="005A083E"/>
    <w:rsid w:val="005A0BAB"/>
    <w:rsid w:val="005A184F"/>
    <w:rsid w:val="005A1CB8"/>
    <w:rsid w:val="005A1D4B"/>
    <w:rsid w:val="005A1F7E"/>
    <w:rsid w:val="005A1FEF"/>
    <w:rsid w:val="005A21E4"/>
    <w:rsid w:val="005A2F45"/>
    <w:rsid w:val="005A379D"/>
    <w:rsid w:val="005A37EB"/>
    <w:rsid w:val="005A3C0B"/>
    <w:rsid w:val="005A3DF7"/>
    <w:rsid w:val="005A3E5C"/>
    <w:rsid w:val="005A48D7"/>
    <w:rsid w:val="005A5551"/>
    <w:rsid w:val="005A57C4"/>
    <w:rsid w:val="005A5937"/>
    <w:rsid w:val="005A5A86"/>
    <w:rsid w:val="005A5B4F"/>
    <w:rsid w:val="005A5F9D"/>
    <w:rsid w:val="005A6113"/>
    <w:rsid w:val="005A61E9"/>
    <w:rsid w:val="005A63FB"/>
    <w:rsid w:val="005A6CF0"/>
    <w:rsid w:val="005A6F3C"/>
    <w:rsid w:val="005A791F"/>
    <w:rsid w:val="005A7F6F"/>
    <w:rsid w:val="005B0689"/>
    <w:rsid w:val="005B0741"/>
    <w:rsid w:val="005B0D91"/>
    <w:rsid w:val="005B1593"/>
    <w:rsid w:val="005B1B51"/>
    <w:rsid w:val="005B1BB6"/>
    <w:rsid w:val="005B2230"/>
    <w:rsid w:val="005B2763"/>
    <w:rsid w:val="005B3C27"/>
    <w:rsid w:val="005B3C84"/>
    <w:rsid w:val="005B4960"/>
    <w:rsid w:val="005B5024"/>
    <w:rsid w:val="005B633E"/>
    <w:rsid w:val="005B7208"/>
    <w:rsid w:val="005B7244"/>
    <w:rsid w:val="005B7743"/>
    <w:rsid w:val="005B77F7"/>
    <w:rsid w:val="005B7AE2"/>
    <w:rsid w:val="005B7CCE"/>
    <w:rsid w:val="005C028C"/>
    <w:rsid w:val="005C0B60"/>
    <w:rsid w:val="005C1219"/>
    <w:rsid w:val="005C168B"/>
    <w:rsid w:val="005C17C0"/>
    <w:rsid w:val="005C17C2"/>
    <w:rsid w:val="005C18D1"/>
    <w:rsid w:val="005C19FB"/>
    <w:rsid w:val="005C1A57"/>
    <w:rsid w:val="005C1C48"/>
    <w:rsid w:val="005C20F7"/>
    <w:rsid w:val="005C2427"/>
    <w:rsid w:val="005C2718"/>
    <w:rsid w:val="005C283A"/>
    <w:rsid w:val="005C2AE1"/>
    <w:rsid w:val="005C3142"/>
    <w:rsid w:val="005C338D"/>
    <w:rsid w:val="005C33FA"/>
    <w:rsid w:val="005C3729"/>
    <w:rsid w:val="005C3BD6"/>
    <w:rsid w:val="005C4743"/>
    <w:rsid w:val="005C4FB5"/>
    <w:rsid w:val="005C5492"/>
    <w:rsid w:val="005C56CB"/>
    <w:rsid w:val="005C5955"/>
    <w:rsid w:val="005C6C17"/>
    <w:rsid w:val="005C6C78"/>
    <w:rsid w:val="005C6EC8"/>
    <w:rsid w:val="005C702C"/>
    <w:rsid w:val="005C71EB"/>
    <w:rsid w:val="005C72A5"/>
    <w:rsid w:val="005C76A6"/>
    <w:rsid w:val="005C7BE8"/>
    <w:rsid w:val="005C7E8A"/>
    <w:rsid w:val="005D0015"/>
    <w:rsid w:val="005D0019"/>
    <w:rsid w:val="005D00BB"/>
    <w:rsid w:val="005D023B"/>
    <w:rsid w:val="005D064C"/>
    <w:rsid w:val="005D0A3D"/>
    <w:rsid w:val="005D0C05"/>
    <w:rsid w:val="005D1632"/>
    <w:rsid w:val="005D1D87"/>
    <w:rsid w:val="005D1FB7"/>
    <w:rsid w:val="005D298B"/>
    <w:rsid w:val="005D2D64"/>
    <w:rsid w:val="005D3775"/>
    <w:rsid w:val="005D39AE"/>
    <w:rsid w:val="005D3FB0"/>
    <w:rsid w:val="005D40AB"/>
    <w:rsid w:val="005D4841"/>
    <w:rsid w:val="005D4921"/>
    <w:rsid w:val="005D51AE"/>
    <w:rsid w:val="005D5248"/>
    <w:rsid w:val="005D52A4"/>
    <w:rsid w:val="005D5AAE"/>
    <w:rsid w:val="005D6003"/>
    <w:rsid w:val="005D6094"/>
    <w:rsid w:val="005D6259"/>
    <w:rsid w:val="005D69B5"/>
    <w:rsid w:val="005D710E"/>
    <w:rsid w:val="005D75C9"/>
    <w:rsid w:val="005D7826"/>
    <w:rsid w:val="005E002E"/>
    <w:rsid w:val="005E0D1C"/>
    <w:rsid w:val="005E1CA4"/>
    <w:rsid w:val="005E1EB6"/>
    <w:rsid w:val="005E2103"/>
    <w:rsid w:val="005E2CDC"/>
    <w:rsid w:val="005E34D7"/>
    <w:rsid w:val="005E3E0C"/>
    <w:rsid w:val="005E4315"/>
    <w:rsid w:val="005E4341"/>
    <w:rsid w:val="005E4958"/>
    <w:rsid w:val="005E4A14"/>
    <w:rsid w:val="005E5598"/>
    <w:rsid w:val="005E5F9D"/>
    <w:rsid w:val="005E610F"/>
    <w:rsid w:val="005E6508"/>
    <w:rsid w:val="005E67AC"/>
    <w:rsid w:val="005E6E4D"/>
    <w:rsid w:val="005E71C0"/>
    <w:rsid w:val="005E752C"/>
    <w:rsid w:val="005F0AB3"/>
    <w:rsid w:val="005F0AF1"/>
    <w:rsid w:val="005F0CCD"/>
    <w:rsid w:val="005F0D6D"/>
    <w:rsid w:val="005F0FB7"/>
    <w:rsid w:val="005F142A"/>
    <w:rsid w:val="005F14AF"/>
    <w:rsid w:val="005F186B"/>
    <w:rsid w:val="005F1BC1"/>
    <w:rsid w:val="005F2606"/>
    <w:rsid w:val="005F2619"/>
    <w:rsid w:val="005F2F9E"/>
    <w:rsid w:val="005F315A"/>
    <w:rsid w:val="005F348B"/>
    <w:rsid w:val="005F3E83"/>
    <w:rsid w:val="005F40BF"/>
    <w:rsid w:val="005F41F9"/>
    <w:rsid w:val="005F4342"/>
    <w:rsid w:val="005F4429"/>
    <w:rsid w:val="005F4463"/>
    <w:rsid w:val="005F45FB"/>
    <w:rsid w:val="005F4942"/>
    <w:rsid w:val="005F4CDD"/>
    <w:rsid w:val="005F5AB7"/>
    <w:rsid w:val="005F668D"/>
    <w:rsid w:val="005F66C9"/>
    <w:rsid w:val="005F6966"/>
    <w:rsid w:val="005F6C88"/>
    <w:rsid w:val="005F78BC"/>
    <w:rsid w:val="005F7A62"/>
    <w:rsid w:val="006001A6"/>
    <w:rsid w:val="006003CD"/>
    <w:rsid w:val="0060142D"/>
    <w:rsid w:val="00601554"/>
    <w:rsid w:val="00601618"/>
    <w:rsid w:val="00601768"/>
    <w:rsid w:val="006017A9"/>
    <w:rsid w:val="00601922"/>
    <w:rsid w:val="00601A69"/>
    <w:rsid w:val="00601B0C"/>
    <w:rsid w:val="00601C55"/>
    <w:rsid w:val="0060242E"/>
    <w:rsid w:val="0060275F"/>
    <w:rsid w:val="00602968"/>
    <w:rsid w:val="0060305B"/>
    <w:rsid w:val="00603527"/>
    <w:rsid w:val="00603840"/>
    <w:rsid w:val="0060395B"/>
    <w:rsid w:val="00604784"/>
    <w:rsid w:val="00604E2D"/>
    <w:rsid w:val="00604E6B"/>
    <w:rsid w:val="0060553C"/>
    <w:rsid w:val="00605633"/>
    <w:rsid w:val="0060608F"/>
    <w:rsid w:val="006065F5"/>
    <w:rsid w:val="00606912"/>
    <w:rsid w:val="0060696F"/>
    <w:rsid w:val="00606A5C"/>
    <w:rsid w:val="006072C0"/>
    <w:rsid w:val="006073AD"/>
    <w:rsid w:val="006073C4"/>
    <w:rsid w:val="00607536"/>
    <w:rsid w:val="00607E24"/>
    <w:rsid w:val="0061013A"/>
    <w:rsid w:val="0061028A"/>
    <w:rsid w:val="0061041E"/>
    <w:rsid w:val="00610730"/>
    <w:rsid w:val="00610F43"/>
    <w:rsid w:val="00610F6C"/>
    <w:rsid w:val="00610F81"/>
    <w:rsid w:val="006112F3"/>
    <w:rsid w:val="00611813"/>
    <w:rsid w:val="00612D3B"/>
    <w:rsid w:val="006137F8"/>
    <w:rsid w:val="00614747"/>
    <w:rsid w:val="00614D51"/>
    <w:rsid w:val="00614EF5"/>
    <w:rsid w:val="0061505E"/>
    <w:rsid w:val="006158F4"/>
    <w:rsid w:val="00615AC8"/>
    <w:rsid w:val="0061624F"/>
    <w:rsid w:val="0061627C"/>
    <w:rsid w:val="00616454"/>
    <w:rsid w:val="00616C4B"/>
    <w:rsid w:val="00616CD7"/>
    <w:rsid w:val="006172BE"/>
    <w:rsid w:val="0061754E"/>
    <w:rsid w:val="00617929"/>
    <w:rsid w:val="006202E4"/>
    <w:rsid w:val="0062050D"/>
    <w:rsid w:val="00620512"/>
    <w:rsid w:val="006205A2"/>
    <w:rsid w:val="0062079E"/>
    <w:rsid w:val="00620E50"/>
    <w:rsid w:val="006218C7"/>
    <w:rsid w:val="00621E30"/>
    <w:rsid w:val="00622073"/>
    <w:rsid w:val="00622444"/>
    <w:rsid w:val="00622AC6"/>
    <w:rsid w:val="00622C25"/>
    <w:rsid w:val="00622DE4"/>
    <w:rsid w:val="0062320C"/>
    <w:rsid w:val="006233E4"/>
    <w:rsid w:val="00623420"/>
    <w:rsid w:val="00623B1F"/>
    <w:rsid w:val="00624419"/>
    <w:rsid w:val="006244DD"/>
    <w:rsid w:val="0062485C"/>
    <w:rsid w:val="00624886"/>
    <w:rsid w:val="00624E13"/>
    <w:rsid w:val="00625206"/>
    <w:rsid w:val="0062527E"/>
    <w:rsid w:val="006252A2"/>
    <w:rsid w:val="00625E34"/>
    <w:rsid w:val="0062670B"/>
    <w:rsid w:val="0062684F"/>
    <w:rsid w:val="00626C17"/>
    <w:rsid w:val="0062731A"/>
    <w:rsid w:val="00627799"/>
    <w:rsid w:val="00627D15"/>
    <w:rsid w:val="00627FAE"/>
    <w:rsid w:val="0063015A"/>
    <w:rsid w:val="0063027E"/>
    <w:rsid w:val="00630282"/>
    <w:rsid w:val="006302A3"/>
    <w:rsid w:val="006315FC"/>
    <w:rsid w:val="00631DAE"/>
    <w:rsid w:val="00631F67"/>
    <w:rsid w:val="0063277B"/>
    <w:rsid w:val="0063368C"/>
    <w:rsid w:val="006337DE"/>
    <w:rsid w:val="006338A7"/>
    <w:rsid w:val="006338DE"/>
    <w:rsid w:val="00633FF6"/>
    <w:rsid w:val="00634720"/>
    <w:rsid w:val="00634956"/>
    <w:rsid w:val="00634FF1"/>
    <w:rsid w:val="00635186"/>
    <w:rsid w:val="00635425"/>
    <w:rsid w:val="006358DD"/>
    <w:rsid w:val="00635EBC"/>
    <w:rsid w:val="00636098"/>
    <w:rsid w:val="00636100"/>
    <w:rsid w:val="00636D9E"/>
    <w:rsid w:val="006373E0"/>
    <w:rsid w:val="00637986"/>
    <w:rsid w:val="006379E7"/>
    <w:rsid w:val="00637C7B"/>
    <w:rsid w:val="00637E22"/>
    <w:rsid w:val="00637FB9"/>
    <w:rsid w:val="00640B93"/>
    <w:rsid w:val="006410E8"/>
    <w:rsid w:val="006417E4"/>
    <w:rsid w:val="0064185C"/>
    <w:rsid w:val="00641955"/>
    <w:rsid w:val="0064202E"/>
    <w:rsid w:val="006425CE"/>
    <w:rsid w:val="0064395F"/>
    <w:rsid w:val="00643B1A"/>
    <w:rsid w:val="00643F76"/>
    <w:rsid w:val="006448D8"/>
    <w:rsid w:val="00644919"/>
    <w:rsid w:val="00645453"/>
    <w:rsid w:val="006454B5"/>
    <w:rsid w:val="00645F71"/>
    <w:rsid w:val="006467CF"/>
    <w:rsid w:val="00646FFB"/>
    <w:rsid w:val="00647A28"/>
    <w:rsid w:val="006504F8"/>
    <w:rsid w:val="0065064C"/>
    <w:rsid w:val="00650F58"/>
    <w:rsid w:val="00651142"/>
    <w:rsid w:val="0065126B"/>
    <w:rsid w:val="00651C2F"/>
    <w:rsid w:val="00651C63"/>
    <w:rsid w:val="006522C2"/>
    <w:rsid w:val="006523AC"/>
    <w:rsid w:val="0065262C"/>
    <w:rsid w:val="006531EF"/>
    <w:rsid w:val="00653575"/>
    <w:rsid w:val="00653C1A"/>
    <w:rsid w:val="00654C2A"/>
    <w:rsid w:val="00654FE0"/>
    <w:rsid w:val="006550EF"/>
    <w:rsid w:val="006550F7"/>
    <w:rsid w:val="006551DA"/>
    <w:rsid w:val="00655BC6"/>
    <w:rsid w:val="00655C72"/>
    <w:rsid w:val="006560FF"/>
    <w:rsid w:val="00656562"/>
    <w:rsid w:val="006565E9"/>
    <w:rsid w:val="00656FA1"/>
    <w:rsid w:val="006571B0"/>
    <w:rsid w:val="006574DB"/>
    <w:rsid w:val="006578CB"/>
    <w:rsid w:val="00657E9B"/>
    <w:rsid w:val="0066096F"/>
    <w:rsid w:val="00661CAD"/>
    <w:rsid w:val="00661CF4"/>
    <w:rsid w:val="00661FA1"/>
    <w:rsid w:val="00662322"/>
    <w:rsid w:val="0066233F"/>
    <w:rsid w:val="0066262B"/>
    <w:rsid w:val="006627E2"/>
    <w:rsid w:val="00662A15"/>
    <w:rsid w:val="00662F13"/>
    <w:rsid w:val="006646E5"/>
    <w:rsid w:val="00665A6D"/>
    <w:rsid w:val="00665B2D"/>
    <w:rsid w:val="00665B9A"/>
    <w:rsid w:val="00666452"/>
    <w:rsid w:val="00666618"/>
    <w:rsid w:val="0066676C"/>
    <w:rsid w:val="0066704A"/>
    <w:rsid w:val="00667135"/>
    <w:rsid w:val="0066770A"/>
    <w:rsid w:val="00667CE8"/>
    <w:rsid w:val="006702E2"/>
    <w:rsid w:val="00670422"/>
    <w:rsid w:val="0067063C"/>
    <w:rsid w:val="0067090F"/>
    <w:rsid w:val="00670B8C"/>
    <w:rsid w:val="006713A2"/>
    <w:rsid w:val="0067164B"/>
    <w:rsid w:val="0067175A"/>
    <w:rsid w:val="00671817"/>
    <w:rsid w:val="00671A67"/>
    <w:rsid w:val="00671AAA"/>
    <w:rsid w:val="00671D2D"/>
    <w:rsid w:val="00671E99"/>
    <w:rsid w:val="00672664"/>
    <w:rsid w:val="0067277A"/>
    <w:rsid w:val="006727A6"/>
    <w:rsid w:val="006739F4"/>
    <w:rsid w:val="00673D2A"/>
    <w:rsid w:val="00674524"/>
    <w:rsid w:val="0067690E"/>
    <w:rsid w:val="0067692A"/>
    <w:rsid w:val="006773D3"/>
    <w:rsid w:val="0067797B"/>
    <w:rsid w:val="00677A57"/>
    <w:rsid w:val="00680258"/>
    <w:rsid w:val="00680368"/>
    <w:rsid w:val="006804C6"/>
    <w:rsid w:val="006804DC"/>
    <w:rsid w:val="006813F5"/>
    <w:rsid w:val="00681702"/>
    <w:rsid w:val="00681975"/>
    <w:rsid w:val="006819E8"/>
    <w:rsid w:val="00681BC1"/>
    <w:rsid w:val="00681F3A"/>
    <w:rsid w:val="006827F3"/>
    <w:rsid w:val="0068299B"/>
    <w:rsid w:val="00683122"/>
    <w:rsid w:val="00683150"/>
    <w:rsid w:val="0068327A"/>
    <w:rsid w:val="0068344C"/>
    <w:rsid w:val="00683ABF"/>
    <w:rsid w:val="00683F7C"/>
    <w:rsid w:val="0068407D"/>
    <w:rsid w:val="00684230"/>
    <w:rsid w:val="0068425F"/>
    <w:rsid w:val="006846EB"/>
    <w:rsid w:val="00685249"/>
    <w:rsid w:val="006853A3"/>
    <w:rsid w:val="006854B8"/>
    <w:rsid w:val="00685610"/>
    <w:rsid w:val="006856C3"/>
    <w:rsid w:val="00685AAC"/>
    <w:rsid w:val="00685BA8"/>
    <w:rsid w:val="00685DD5"/>
    <w:rsid w:val="006866F8"/>
    <w:rsid w:val="0068695D"/>
    <w:rsid w:val="00687011"/>
    <w:rsid w:val="006872F1"/>
    <w:rsid w:val="00687874"/>
    <w:rsid w:val="006900EE"/>
    <w:rsid w:val="00690AFE"/>
    <w:rsid w:val="00690B9A"/>
    <w:rsid w:val="00691503"/>
    <w:rsid w:val="0069211C"/>
    <w:rsid w:val="0069252B"/>
    <w:rsid w:val="00693057"/>
    <w:rsid w:val="006932EB"/>
    <w:rsid w:val="006932F5"/>
    <w:rsid w:val="0069386E"/>
    <w:rsid w:val="00693E93"/>
    <w:rsid w:val="006941BC"/>
    <w:rsid w:val="0069501B"/>
    <w:rsid w:val="0069571E"/>
    <w:rsid w:val="00696229"/>
    <w:rsid w:val="00696411"/>
    <w:rsid w:val="00697027"/>
    <w:rsid w:val="0069723E"/>
    <w:rsid w:val="006974C3"/>
    <w:rsid w:val="00697582"/>
    <w:rsid w:val="0069759E"/>
    <w:rsid w:val="006A02AF"/>
    <w:rsid w:val="006A02B7"/>
    <w:rsid w:val="006A0622"/>
    <w:rsid w:val="006A064E"/>
    <w:rsid w:val="006A06CB"/>
    <w:rsid w:val="006A095E"/>
    <w:rsid w:val="006A0A5B"/>
    <w:rsid w:val="006A0ED3"/>
    <w:rsid w:val="006A14B9"/>
    <w:rsid w:val="006A15DB"/>
    <w:rsid w:val="006A1742"/>
    <w:rsid w:val="006A1748"/>
    <w:rsid w:val="006A1A67"/>
    <w:rsid w:val="006A1C57"/>
    <w:rsid w:val="006A1F85"/>
    <w:rsid w:val="006A1FE5"/>
    <w:rsid w:val="006A2258"/>
    <w:rsid w:val="006A2EC8"/>
    <w:rsid w:val="006A2F7E"/>
    <w:rsid w:val="006A32F4"/>
    <w:rsid w:val="006A3548"/>
    <w:rsid w:val="006A37DE"/>
    <w:rsid w:val="006A385B"/>
    <w:rsid w:val="006A3ABD"/>
    <w:rsid w:val="006A3D92"/>
    <w:rsid w:val="006A4174"/>
    <w:rsid w:val="006A45C4"/>
    <w:rsid w:val="006A47F6"/>
    <w:rsid w:val="006A4A5E"/>
    <w:rsid w:val="006A585C"/>
    <w:rsid w:val="006A58EC"/>
    <w:rsid w:val="006A6216"/>
    <w:rsid w:val="006A636B"/>
    <w:rsid w:val="006A6A8B"/>
    <w:rsid w:val="006A725C"/>
    <w:rsid w:val="006A7A94"/>
    <w:rsid w:val="006A7DA3"/>
    <w:rsid w:val="006B0301"/>
    <w:rsid w:val="006B033F"/>
    <w:rsid w:val="006B0722"/>
    <w:rsid w:val="006B12B2"/>
    <w:rsid w:val="006B1448"/>
    <w:rsid w:val="006B1460"/>
    <w:rsid w:val="006B1AF9"/>
    <w:rsid w:val="006B1B95"/>
    <w:rsid w:val="006B1D08"/>
    <w:rsid w:val="006B233B"/>
    <w:rsid w:val="006B2924"/>
    <w:rsid w:val="006B2E71"/>
    <w:rsid w:val="006B2F53"/>
    <w:rsid w:val="006B3033"/>
    <w:rsid w:val="006B3093"/>
    <w:rsid w:val="006B3289"/>
    <w:rsid w:val="006B330C"/>
    <w:rsid w:val="006B37B9"/>
    <w:rsid w:val="006B3EF9"/>
    <w:rsid w:val="006B482E"/>
    <w:rsid w:val="006B49AB"/>
    <w:rsid w:val="006B4CB6"/>
    <w:rsid w:val="006B4FA0"/>
    <w:rsid w:val="006B5399"/>
    <w:rsid w:val="006B5E06"/>
    <w:rsid w:val="006B6071"/>
    <w:rsid w:val="006B62C1"/>
    <w:rsid w:val="006B69AC"/>
    <w:rsid w:val="006B6B71"/>
    <w:rsid w:val="006B6C00"/>
    <w:rsid w:val="006B6E9E"/>
    <w:rsid w:val="006B7122"/>
    <w:rsid w:val="006B76AC"/>
    <w:rsid w:val="006B778E"/>
    <w:rsid w:val="006B7E6D"/>
    <w:rsid w:val="006B7EE8"/>
    <w:rsid w:val="006C041C"/>
    <w:rsid w:val="006C0844"/>
    <w:rsid w:val="006C08A0"/>
    <w:rsid w:val="006C0B2B"/>
    <w:rsid w:val="006C0C76"/>
    <w:rsid w:val="006C1374"/>
    <w:rsid w:val="006C1E1D"/>
    <w:rsid w:val="006C240E"/>
    <w:rsid w:val="006C2E85"/>
    <w:rsid w:val="006C32CD"/>
    <w:rsid w:val="006C377A"/>
    <w:rsid w:val="006C3B2B"/>
    <w:rsid w:val="006C3B80"/>
    <w:rsid w:val="006C3C33"/>
    <w:rsid w:val="006C3C5E"/>
    <w:rsid w:val="006C3CC7"/>
    <w:rsid w:val="006C3F6B"/>
    <w:rsid w:val="006C42AE"/>
    <w:rsid w:val="006C471E"/>
    <w:rsid w:val="006C47C6"/>
    <w:rsid w:val="006C5273"/>
    <w:rsid w:val="006C5301"/>
    <w:rsid w:val="006C53A3"/>
    <w:rsid w:val="006C578A"/>
    <w:rsid w:val="006C5907"/>
    <w:rsid w:val="006C6057"/>
    <w:rsid w:val="006C61C0"/>
    <w:rsid w:val="006C67EC"/>
    <w:rsid w:val="006C6E41"/>
    <w:rsid w:val="006C6EA0"/>
    <w:rsid w:val="006C6EC9"/>
    <w:rsid w:val="006C6F6E"/>
    <w:rsid w:val="006C7485"/>
    <w:rsid w:val="006C7B3B"/>
    <w:rsid w:val="006C7CE7"/>
    <w:rsid w:val="006C7ECE"/>
    <w:rsid w:val="006D03DB"/>
    <w:rsid w:val="006D096F"/>
    <w:rsid w:val="006D182F"/>
    <w:rsid w:val="006D1C51"/>
    <w:rsid w:val="006D1F71"/>
    <w:rsid w:val="006D2123"/>
    <w:rsid w:val="006D2A18"/>
    <w:rsid w:val="006D34D3"/>
    <w:rsid w:val="006D34E7"/>
    <w:rsid w:val="006D4692"/>
    <w:rsid w:val="006D54CC"/>
    <w:rsid w:val="006D581E"/>
    <w:rsid w:val="006D5BBF"/>
    <w:rsid w:val="006D5D0B"/>
    <w:rsid w:val="006D5D62"/>
    <w:rsid w:val="006D752B"/>
    <w:rsid w:val="006D75A5"/>
    <w:rsid w:val="006D7E41"/>
    <w:rsid w:val="006D7F75"/>
    <w:rsid w:val="006E073B"/>
    <w:rsid w:val="006E124D"/>
    <w:rsid w:val="006E148C"/>
    <w:rsid w:val="006E1746"/>
    <w:rsid w:val="006E1756"/>
    <w:rsid w:val="006E17FB"/>
    <w:rsid w:val="006E1ACF"/>
    <w:rsid w:val="006E1C34"/>
    <w:rsid w:val="006E2F06"/>
    <w:rsid w:val="006E367B"/>
    <w:rsid w:val="006E3BF1"/>
    <w:rsid w:val="006E3BFD"/>
    <w:rsid w:val="006E3F74"/>
    <w:rsid w:val="006E4046"/>
    <w:rsid w:val="006E47B9"/>
    <w:rsid w:val="006E4C3A"/>
    <w:rsid w:val="006E4C5D"/>
    <w:rsid w:val="006E4D5F"/>
    <w:rsid w:val="006E4FB9"/>
    <w:rsid w:val="006E5A57"/>
    <w:rsid w:val="006E5B4C"/>
    <w:rsid w:val="006E6B1E"/>
    <w:rsid w:val="006E6B66"/>
    <w:rsid w:val="006E6F81"/>
    <w:rsid w:val="006E75CC"/>
    <w:rsid w:val="006E79D8"/>
    <w:rsid w:val="006E7BBB"/>
    <w:rsid w:val="006E7DD2"/>
    <w:rsid w:val="006F0479"/>
    <w:rsid w:val="006F052C"/>
    <w:rsid w:val="006F0AFA"/>
    <w:rsid w:val="006F0B1E"/>
    <w:rsid w:val="006F0D20"/>
    <w:rsid w:val="006F0E87"/>
    <w:rsid w:val="006F0E9A"/>
    <w:rsid w:val="006F15B6"/>
    <w:rsid w:val="006F1D21"/>
    <w:rsid w:val="006F1DEE"/>
    <w:rsid w:val="006F2D6A"/>
    <w:rsid w:val="006F2DF5"/>
    <w:rsid w:val="006F3408"/>
    <w:rsid w:val="006F3C58"/>
    <w:rsid w:val="006F427D"/>
    <w:rsid w:val="006F47A1"/>
    <w:rsid w:val="006F49F3"/>
    <w:rsid w:val="006F4F9B"/>
    <w:rsid w:val="006F5188"/>
    <w:rsid w:val="006F5295"/>
    <w:rsid w:val="006F5C38"/>
    <w:rsid w:val="006F62D1"/>
    <w:rsid w:val="006F76D9"/>
    <w:rsid w:val="006F79D8"/>
    <w:rsid w:val="006F7E18"/>
    <w:rsid w:val="006F7E7E"/>
    <w:rsid w:val="007001C1"/>
    <w:rsid w:val="00700746"/>
    <w:rsid w:val="007013D0"/>
    <w:rsid w:val="00701449"/>
    <w:rsid w:val="0070209A"/>
    <w:rsid w:val="0070256C"/>
    <w:rsid w:val="007027CE"/>
    <w:rsid w:val="00702859"/>
    <w:rsid w:val="00702D71"/>
    <w:rsid w:val="00702DDA"/>
    <w:rsid w:val="00702E4F"/>
    <w:rsid w:val="00702F7E"/>
    <w:rsid w:val="00703525"/>
    <w:rsid w:val="0070358F"/>
    <w:rsid w:val="007037B2"/>
    <w:rsid w:val="00703801"/>
    <w:rsid w:val="00703D61"/>
    <w:rsid w:val="00704287"/>
    <w:rsid w:val="007052C1"/>
    <w:rsid w:val="00705B60"/>
    <w:rsid w:val="00705FD8"/>
    <w:rsid w:val="00705FFE"/>
    <w:rsid w:val="00706120"/>
    <w:rsid w:val="007061A8"/>
    <w:rsid w:val="0070641E"/>
    <w:rsid w:val="00706C76"/>
    <w:rsid w:val="00707BF2"/>
    <w:rsid w:val="00707E84"/>
    <w:rsid w:val="00710774"/>
    <w:rsid w:val="00710BDF"/>
    <w:rsid w:val="00711059"/>
    <w:rsid w:val="0071105A"/>
    <w:rsid w:val="00711382"/>
    <w:rsid w:val="00711818"/>
    <w:rsid w:val="00711F97"/>
    <w:rsid w:val="00711FD5"/>
    <w:rsid w:val="0071293F"/>
    <w:rsid w:val="00712BED"/>
    <w:rsid w:val="00713061"/>
    <w:rsid w:val="0071324B"/>
    <w:rsid w:val="00713303"/>
    <w:rsid w:val="00713835"/>
    <w:rsid w:val="007138DF"/>
    <w:rsid w:val="00713E77"/>
    <w:rsid w:val="0071409E"/>
    <w:rsid w:val="0071412A"/>
    <w:rsid w:val="007147D2"/>
    <w:rsid w:val="00714EE1"/>
    <w:rsid w:val="0071521E"/>
    <w:rsid w:val="0071527A"/>
    <w:rsid w:val="00715477"/>
    <w:rsid w:val="007158FB"/>
    <w:rsid w:val="00715D19"/>
    <w:rsid w:val="007163F3"/>
    <w:rsid w:val="007164A9"/>
    <w:rsid w:val="00716750"/>
    <w:rsid w:val="00716BF6"/>
    <w:rsid w:val="007170B6"/>
    <w:rsid w:val="00717276"/>
    <w:rsid w:val="00717A0B"/>
    <w:rsid w:val="00717D03"/>
    <w:rsid w:val="00720380"/>
    <w:rsid w:val="00720C97"/>
    <w:rsid w:val="007211B3"/>
    <w:rsid w:val="007211F3"/>
    <w:rsid w:val="00721344"/>
    <w:rsid w:val="007213B2"/>
    <w:rsid w:val="0072159F"/>
    <w:rsid w:val="007221EF"/>
    <w:rsid w:val="0072224E"/>
    <w:rsid w:val="0072230D"/>
    <w:rsid w:val="007223BA"/>
    <w:rsid w:val="00722DB3"/>
    <w:rsid w:val="00723819"/>
    <w:rsid w:val="00723D4A"/>
    <w:rsid w:val="00723FC7"/>
    <w:rsid w:val="00724587"/>
    <w:rsid w:val="00724FC8"/>
    <w:rsid w:val="0072550F"/>
    <w:rsid w:val="00725753"/>
    <w:rsid w:val="00725A41"/>
    <w:rsid w:val="00726497"/>
    <w:rsid w:val="00726951"/>
    <w:rsid w:val="00726B32"/>
    <w:rsid w:val="00726E96"/>
    <w:rsid w:val="007270AF"/>
    <w:rsid w:val="007274DD"/>
    <w:rsid w:val="0072759B"/>
    <w:rsid w:val="007276D6"/>
    <w:rsid w:val="0072782D"/>
    <w:rsid w:val="007301DB"/>
    <w:rsid w:val="00730A41"/>
    <w:rsid w:val="007310B2"/>
    <w:rsid w:val="00731411"/>
    <w:rsid w:val="00731524"/>
    <w:rsid w:val="007317B9"/>
    <w:rsid w:val="0073196E"/>
    <w:rsid w:val="00731F72"/>
    <w:rsid w:val="0073220B"/>
    <w:rsid w:val="00732E99"/>
    <w:rsid w:val="00733027"/>
    <w:rsid w:val="00733778"/>
    <w:rsid w:val="007337E2"/>
    <w:rsid w:val="0073381E"/>
    <w:rsid w:val="00733EE6"/>
    <w:rsid w:val="00733F50"/>
    <w:rsid w:val="00734015"/>
    <w:rsid w:val="00734169"/>
    <w:rsid w:val="00734849"/>
    <w:rsid w:val="00734A64"/>
    <w:rsid w:val="00734AF2"/>
    <w:rsid w:val="00734D78"/>
    <w:rsid w:val="00734DDA"/>
    <w:rsid w:val="00735301"/>
    <w:rsid w:val="00735582"/>
    <w:rsid w:val="00735627"/>
    <w:rsid w:val="0073701C"/>
    <w:rsid w:val="007370F9"/>
    <w:rsid w:val="0073752A"/>
    <w:rsid w:val="007375DB"/>
    <w:rsid w:val="007401CA"/>
    <w:rsid w:val="007405B3"/>
    <w:rsid w:val="00740B40"/>
    <w:rsid w:val="00740E56"/>
    <w:rsid w:val="007412E6"/>
    <w:rsid w:val="00742A86"/>
    <w:rsid w:val="00742D80"/>
    <w:rsid w:val="007435B4"/>
    <w:rsid w:val="00743920"/>
    <w:rsid w:val="00743F71"/>
    <w:rsid w:val="00745040"/>
    <w:rsid w:val="007452C5"/>
    <w:rsid w:val="0074573C"/>
    <w:rsid w:val="007461A2"/>
    <w:rsid w:val="00746543"/>
    <w:rsid w:val="00746B4E"/>
    <w:rsid w:val="00746B7E"/>
    <w:rsid w:val="00746CE9"/>
    <w:rsid w:val="00746E49"/>
    <w:rsid w:val="0074708B"/>
    <w:rsid w:val="007500E1"/>
    <w:rsid w:val="00750299"/>
    <w:rsid w:val="00750C11"/>
    <w:rsid w:val="007518B9"/>
    <w:rsid w:val="00751DB5"/>
    <w:rsid w:val="00752011"/>
    <w:rsid w:val="007520AF"/>
    <w:rsid w:val="00752717"/>
    <w:rsid w:val="00752748"/>
    <w:rsid w:val="00752D71"/>
    <w:rsid w:val="00752E93"/>
    <w:rsid w:val="00753130"/>
    <w:rsid w:val="0075423C"/>
    <w:rsid w:val="00754340"/>
    <w:rsid w:val="00754472"/>
    <w:rsid w:val="007545E6"/>
    <w:rsid w:val="00754EFE"/>
    <w:rsid w:val="0075514D"/>
    <w:rsid w:val="007559C5"/>
    <w:rsid w:val="00755D08"/>
    <w:rsid w:val="007566BA"/>
    <w:rsid w:val="00756ECE"/>
    <w:rsid w:val="00757898"/>
    <w:rsid w:val="007578A0"/>
    <w:rsid w:val="00757CB3"/>
    <w:rsid w:val="00760498"/>
    <w:rsid w:val="007605AC"/>
    <w:rsid w:val="007607F1"/>
    <w:rsid w:val="00760BAC"/>
    <w:rsid w:val="00761137"/>
    <w:rsid w:val="007613D2"/>
    <w:rsid w:val="00761BF2"/>
    <w:rsid w:val="00761D20"/>
    <w:rsid w:val="00761DBF"/>
    <w:rsid w:val="00762396"/>
    <w:rsid w:val="007624F6"/>
    <w:rsid w:val="00762509"/>
    <w:rsid w:val="00762939"/>
    <w:rsid w:val="0076299E"/>
    <w:rsid w:val="0076311A"/>
    <w:rsid w:val="007631E3"/>
    <w:rsid w:val="00763437"/>
    <w:rsid w:val="00763501"/>
    <w:rsid w:val="00763637"/>
    <w:rsid w:val="00763F08"/>
    <w:rsid w:val="00764053"/>
    <w:rsid w:val="007641EF"/>
    <w:rsid w:val="007645C6"/>
    <w:rsid w:val="007645F1"/>
    <w:rsid w:val="00764CD1"/>
    <w:rsid w:val="00764E95"/>
    <w:rsid w:val="00764F0B"/>
    <w:rsid w:val="00764FE6"/>
    <w:rsid w:val="007651F8"/>
    <w:rsid w:val="007659BA"/>
    <w:rsid w:val="00765F46"/>
    <w:rsid w:val="00766148"/>
    <w:rsid w:val="00766430"/>
    <w:rsid w:val="00766916"/>
    <w:rsid w:val="00766EBC"/>
    <w:rsid w:val="0076702B"/>
    <w:rsid w:val="007672F5"/>
    <w:rsid w:val="00767A50"/>
    <w:rsid w:val="00770731"/>
    <w:rsid w:val="00770B18"/>
    <w:rsid w:val="007710F8"/>
    <w:rsid w:val="00771294"/>
    <w:rsid w:val="0077136B"/>
    <w:rsid w:val="007713DB"/>
    <w:rsid w:val="00771ACF"/>
    <w:rsid w:val="00771B65"/>
    <w:rsid w:val="00771CDB"/>
    <w:rsid w:val="00772F3B"/>
    <w:rsid w:val="007730CC"/>
    <w:rsid w:val="007733BA"/>
    <w:rsid w:val="00773664"/>
    <w:rsid w:val="00773A30"/>
    <w:rsid w:val="00773C2D"/>
    <w:rsid w:val="0077408F"/>
    <w:rsid w:val="007748E4"/>
    <w:rsid w:val="00774B6D"/>
    <w:rsid w:val="00774C53"/>
    <w:rsid w:val="0077502E"/>
    <w:rsid w:val="007751BA"/>
    <w:rsid w:val="0077529B"/>
    <w:rsid w:val="007753D7"/>
    <w:rsid w:val="0077554E"/>
    <w:rsid w:val="00775BC4"/>
    <w:rsid w:val="00775F8C"/>
    <w:rsid w:val="007767CE"/>
    <w:rsid w:val="00776D80"/>
    <w:rsid w:val="00777CA7"/>
    <w:rsid w:val="0078090C"/>
    <w:rsid w:val="0078114A"/>
    <w:rsid w:val="00781500"/>
    <w:rsid w:val="007818E9"/>
    <w:rsid w:val="00781E19"/>
    <w:rsid w:val="00781FBC"/>
    <w:rsid w:val="007831B0"/>
    <w:rsid w:val="00783233"/>
    <w:rsid w:val="00783C5C"/>
    <w:rsid w:val="00783DDF"/>
    <w:rsid w:val="00783ECF"/>
    <w:rsid w:val="00784324"/>
    <w:rsid w:val="0078447D"/>
    <w:rsid w:val="00784946"/>
    <w:rsid w:val="00784AC0"/>
    <w:rsid w:val="00784D06"/>
    <w:rsid w:val="00784F26"/>
    <w:rsid w:val="0078543C"/>
    <w:rsid w:val="00786D58"/>
    <w:rsid w:val="0078756B"/>
    <w:rsid w:val="0078768A"/>
    <w:rsid w:val="00787CBF"/>
    <w:rsid w:val="00787EA3"/>
    <w:rsid w:val="00791ADD"/>
    <w:rsid w:val="007921C8"/>
    <w:rsid w:val="0079231D"/>
    <w:rsid w:val="007940D9"/>
    <w:rsid w:val="0079431A"/>
    <w:rsid w:val="007951E8"/>
    <w:rsid w:val="0079569B"/>
    <w:rsid w:val="00795927"/>
    <w:rsid w:val="00795B2A"/>
    <w:rsid w:val="00795DA5"/>
    <w:rsid w:val="00795DF4"/>
    <w:rsid w:val="007965AE"/>
    <w:rsid w:val="00796632"/>
    <w:rsid w:val="00796901"/>
    <w:rsid w:val="0079700A"/>
    <w:rsid w:val="0079709E"/>
    <w:rsid w:val="00797615"/>
    <w:rsid w:val="00797C5B"/>
    <w:rsid w:val="00797E02"/>
    <w:rsid w:val="007A0EA5"/>
    <w:rsid w:val="007A0EB3"/>
    <w:rsid w:val="007A0EFE"/>
    <w:rsid w:val="007A1079"/>
    <w:rsid w:val="007A118B"/>
    <w:rsid w:val="007A126A"/>
    <w:rsid w:val="007A1356"/>
    <w:rsid w:val="007A15CE"/>
    <w:rsid w:val="007A18C5"/>
    <w:rsid w:val="007A18D3"/>
    <w:rsid w:val="007A1BAF"/>
    <w:rsid w:val="007A27C8"/>
    <w:rsid w:val="007A2C85"/>
    <w:rsid w:val="007A30AF"/>
    <w:rsid w:val="007A3DFC"/>
    <w:rsid w:val="007A3E7C"/>
    <w:rsid w:val="007A43F8"/>
    <w:rsid w:val="007A4957"/>
    <w:rsid w:val="007A4EE6"/>
    <w:rsid w:val="007A5017"/>
    <w:rsid w:val="007A5094"/>
    <w:rsid w:val="007A5249"/>
    <w:rsid w:val="007A5A4E"/>
    <w:rsid w:val="007A5FB4"/>
    <w:rsid w:val="007A6AFB"/>
    <w:rsid w:val="007A7132"/>
    <w:rsid w:val="007A714B"/>
    <w:rsid w:val="007A754B"/>
    <w:rsid w:val="007A7568"/>
    <w:rsid w:val="007B0031"/>
    <w:rsid w:val="007B06C9"/>
    <w:rsid w:val="007B08C5"/>
    <w:rsid w:val="007B10ED"/>
    <w:rsid w:val="007B138D"/>
    <w:rsid w:val="007B14CA"/>
    <w:rsid w:val="007B1808"/>
    <w:rsid w:val="007B26AE"/>
    <w:rsid w:val="007B29B8"/>
    <w:rsid w:val="007B2D76"/>
    <w:rsid w:val="007B31BC"/>
    <w:rsid w:val="007B3638"/>
    <w:rsid w:val="007B374F"/>
    <w:rsid w:val="007B3A27"/>
    <w:rsid w:val="007B3ABA"/>
    <w:rsid w:val="007B4009"/>
    <w:rsid w:val="007B4627"/>
    <w:rsid w:val="007B4711"/>
    <w:rsid w:val="007B4E90"/>
    <w:rsid w:val="007B579F"/>
    <w:rsid w:val="007B6138"/>
    <w:rsid w:val="007B62B3"/>
    <w:rsid w:val="007B6540"/>
    <w:rsid w:val="007B70F9"/>
    <w:rsid w:val="007B74D6"/>
    <w:rsid w:val="007B7F52"/>
    <w:rsid w:val="007C0582"/>
    <w:rsid w:val="007C0A30"/>
    <w:rsid w:val="007C0F6F"/>
    <w:rsid w:val="007C168B"/>
    <w:rsid w:val="007C1823"/>
    <w:rsid w:val="007C19E5"/>
    <w:rsid w:val="007C1ADC"/>
    <w:rsid w:val="007C29FF"/>
    <w:rsid w:val="007C2C50"/>
    <w:rsid w:val="007C2C7E"/>
    <w:rsid w:val="007C3CEF"/>
    <w:rsid w:val="007C3E9F"/>
    <w:rsid w:val="007C4A95"/>
    <w:rsid w:val="007C4DE8"/>
    <w:rsid w:val="007C4FF5"/>
    <w:rsid w:val="007C5D09"/>
    <w:rsid w:val="007C5FE9"/>
    <w:rsid w:val="007C6034"/>
    <w:rsid w:val="007C60AF"/>
    <w:rsid w:val="007C65D6"/>
    <w:rsid w:val="007C667A"/>
    <w:rsid w:val="007C6C6D"/>
    <w:rsid w:val="007C6E15"/>
    <w:rsid w:val="007C70F2"/>
    <w:rsid w:val="007C79CC"/>
    <w:rsid w:val="007D0222"/>
    <w:rsid w:val="007D0259"/>
    <w:rsid w:val="007D0472"/>
    <w:rsid w:val="007D0BD8"/>
    <w:rsid w:val="007D1390"/>
    <w:rsid w:val="007D25DE"/>
    <w:rsid w:val="007D2AF6"/>
    <w:rsid w:val="007D3250"/>
    <w:rsid w:val="007D37A5"/>
    <w:rsid w:val="007D3E5F"/>
    <w:rsid w:val="007D4678"/>
    <w:rsid w:val="007D4762"/>
    <w:rsid w:val="007D480C"/>
    <w:rsid w:val="007D5361"/>
    <w:rsid w:val="007D5A42"/>
    <w:rsid w:val="007D66EE"/>
    <w:rsid w:val="007D6A75"/>
    <w:rsid w:val="007D724A"/>
    <w:rsid w:val="007D769B"/>
    <w:rsid w:val="007D7E36"/>
    <w:rsid w:val="007D7F04"/>
    <w:rsid w:val="007E0360"/>
    <w:rsid w:val="007E0AA6"/>
    <w:rsid w:val="007E0F08"/>
    <w:rsid w:val="007E144B"/>
    <w:rsid w:val="007E1ED0"/>
    <w:rsid w:val="007E2BD1"/>
    <w:rsid w:val="007E2DEC"/>
    <w:rsid w:val="007E39ED"/>
    <w:rsid w:val="007E3BE7"/>
    <w:rsid w:val="007E3C6B"/>
    <w:rsid w:val="007E44FF"/>
    <w:rsid w:val="007E4650"/>
    <w:rsid w:val="007E46CD"/>
    <w:rsid w:val="007E4C3A"/>
    <w:rsid w:val="007E50AD"/>
    <w:rsid w:val="007E5D46"/>
    <w:rsid w:val="007E7420"/>
    <w:rsid w:val="007E755F"/>
    <w:rsid w:val="007E7E5A"/>
    <w:rsid w:val="007F0302"/>
    <w:rsid w:val="007F0372"/>
    <w:rsid w:val="007F140E"/>
    <w:rsid w:val="007F1510"/>
    <w:rsid w:val="007F15CE"/>
    <w:rsid w:val="007F175B"/>
    <w:rsid w:val="007F19F9"/>
    <w:rsid w:val="007F1DCA"/>
    <w:rsid w:val="007F1EF9"/>
    <w:rsid w:val="007F1F29"/>
    <w:rsid w:val="007F2527"/>
    <w:rsid w:val="007F25FE"/>
    <w:rsid w:val="007F27F7"/>
    <w:rsid w:val="007F2AA3"/>
    <w:rsid w:val="007F2F23"/>
    <w:rsid w:val="007F3E9B"/>
    <w:rsid w:val="007F40F6"/>
    <w:rsid w:val="007F4633"/>
    <w:rsid w:val="007F4812"/>
    <w:rsid w:val="007F51F7"/>
    <w:rsid w:val="007F537D"/>
    <w:rsid w:val="007F560F"/>
    <w:rsid w:val="007F5C7F"/>
    <w:rsid w:val="007F72C3"/>
    <w:rsid w:val="007F76D4"/>
    <w:rsid w:val="008002E5"/>
    <w:rsid w:val="00800A64"/>
    <w:rsid w:val="00800D62"/>
    <w:rsid w:val="00800F88"/>
    <w:rsid w:val="00801361"/>
    <w:rsid w:val="008018A7"/>
    <w:rsid w:val="008019ED"/>
    <w:rsid w:val="00801BDE"/>
    <w:rsid w:val="00802162"/>
    <w:rsid w:val="008023FE"/>
    <w:rsid w:val="00802B03"/>
    <w:rsid w:val="00802B18"/>
    <w:rsid w:val="00802C5C"/>
    <w:rsid w:val="00802CD9"/>
    <w:rsid w:val="0080309C"/>
    <w:rsid w:val="008031A6"/>
    <w:rsid w:val="00803BFE"/>
    <w:rsid w:val="00804278"/>
    <w:rsid w:val="00804550"/>
    <w:rsid w:val="00804C56"/>
    <w:rsid w:val="00804E7B"/>
    <w:rsid w:val="008052A0"/>
    <w:rsid w:val="008053F1"/>
    <w:rsid w:val="008053FF"/>
    <w:rsid w:val="008066BA"/>
    <w:rsid w:val="00806E61"/>
    <w:rsid w:val="008072A8"/>
    <w:rsid w:val="008078F3"/>
    <w:rsid w:val="00807F34"/>
    <w:rsid w:val="00810004"/>
    <w:rsid w:val="00810053"/>
    <w:rsid w:val="008105AE"/>
    <w:rsid w:val="00810A56"/>
    <w:rsid w:val="008114B9"/>
    <w:rsid w:val="008115D1"/>
    <w:rsid w:val="008115DD"/>
    <w:rsid w:val="00811679"/>
    <w:rsid w:val="008118D5"/>
    <w:rsid w:val="00811B13"/>
    <w:rsid w:val="008121C7"/>
    <w:rsid w:val="00812239"/>
    <w:rsid w:val="0081230B"/>
    <w:rsid w:val="00813484"/>
    <w:rsid w:val="008134B5"/>
    <w:rsid w:val="00813C0C"/>
    <w:rsid w:val="008141FA"/>
    <w:rsid w:val="00814506"/>
    <w:rsid w:val="0081458F"/>
    <w:rsid w:val="008146AD"/>
    <w:rsid w:val="00814C43"/>
    <w:rsid w:val="00814EC6"/>
    <w:rsid w:val="008150C8"/>
    <w:rsid w:val="0081526D"/>
    <w:rsid w:val="008154A6"/>
    <w:rsid w:val="0081574E"/>
    <w:rsid w:val="00815917"/>
    <w:rsid w:val="00815C32"/>
    <w:rsid w:val="00815CEB"/>
    <w:rsid w:val="0081605B"/>
    <w:rsid w:val="008168FC"/>
    <w:rsid w:val="00816C66"/>
    <w:rsid w:val="00816CF5"/>
    <w:rsid w:val="00817081"/>
    <w:rsid w:val="00820739"/>
    <w:rsid w:val="00820CF7"/>
    <w:rsid w:val="00820E03"/>
    <w:rsid w:val="00820F80"/>
    <w:rsid w:val="008213A2"/>
    <w:rsid w:val="00821674"/>
    <w:rsid w:val="008217E7"/>
    <w:rsid w:val="00821FC4"/>
    <w:rsid w:val="00822683"/>
    <w:rsid w:val="008229E0"/>
    <w:rsid w:val="00823112"/>
    <w:rsid w:val="00823857"/>
    <w:rsid w:val="008241DC"/>
    <w:rsid w:val="00824231"/>
    <w:rsid w:val="0082480E"/>
    <w:rsid w:val="00824CE5"/>
    <w:rsid w:val="00825472"/>
    <w:rsid w:val="008255B9"/>
    <w:rsid w:val="008256CF"/>
    <w:rsid w:val="00825C93"/>
    <w:rsid w:val="00825E3F"/>
    <w:rsid w:val="008264CD"/>
    <w:rsid w:val="00826A23"/>
    <w:rsid w:val="00826FD9"/>
    <w:rsid w:val="0082731D"/>
    <w:rsid w:val="0082745E"/>
    <w:rsid w:val="008274C3"/>
    <w:rsid w:val="00827B72"/>
    <w:rsid w:val="0083047D"/>
    <w:rsid w:val="00830660"/>
    <w:rsid w:val="00830692"/>
    <w:rsid w:val="00830779"/>
    <w:rsid w:val="00831109"/>
    <w:rsid w:val="00831353"/>
    <w:rsid w:val="008313EB"/>
    <w:rsid w:val="00831626"/>
    <w:rsid w:val="00831ECD"/>
    <w:rsid w:val="008321F7"/>
    <w:rsid w:val="00832A8F"/>
    <w:rsid w:val="00832E92"/>
    <w:rsid w:val="0083328C"/>
    <w:rsid w:val="0083338F"/>
    <w:rsid w:val="00833453"/>
    <w:rsid w:val="00833F20"/>
    <w:rsid w:val="00834162"/>
    <w:rsid w:val="00834355"/>
    <w:rsid w:val="008343A9"/>
    <w:rsid w:val="0083443C"/>
    <w:rsid w:val="00834529"/>
    <w:rsid w:val="00834650"/>
    <w:rsid w:val="0083499A"/>
    <w:rsid w:val="00834E26"/>
    <w:rsid w:val="00834E5D"/>
    <w:rsid w:val="00834FCA"/>
    <w:rsid w:val="00835009"/>
    <w:rsid w:val="0083575C"/>
    <w:rsid w:val="00835DBF"/>
    <w:rsid w:val="00836FB3"/>
    <w:rsid w:val="0083700B"/>
    <w:rsid w:val="00837047"/>
    <w:rsid w:val="008372E7"/>
    <w:rsid w:val="00837BFA"/>
    <w:rsid w:val="00837D09"/>
    <w:rsid w:val="00837E62"/>
    <w:rsid w:val="00837EE6"/>
    <w:rsid w:val="00840462"/>
    <w:rsid w:val="00840989"/>
    <w:rsid w:val="00840E4B"/>
    <w:rsid w:val="00841092"/>
    <w:rsid w:val="0084197D"/>
    <w:rsid w:val="008419AD"/>
    <w:rsid w:val="00841DE3"/>
    <w:rsid w:val="008421C4"/>
    <w:rsid w:val="00842627"/>
    <w:rsid w:val="00842E16"/>
    <w:rsid w:val="008431C5"/>
    <w:rsid w:val="0084330C"/>
    <w:rsid w:val="00845043"/>
    <w:rsid w:val="00845549"/>
    <w:rsid w:val="008458CC"/>
    <w:rsid w:val="00845D63"/>
    <w:rsid w:val="0084625B"/>
    <w:rsid w:val="00846846"/>
    <w:rsid w:val="0084699F"/>
    <w:rsid w:val="00846F03"/>
    <w:rsid w:val="008472D0"/>
    <w:rsid w:val="00847C35"/>
    <w:rsid w:val="008502F1"/>
    <w:rsid w:val="00850692"/>
    <w:rsid w:val="00850983"/>
    <w:rsid w:val="008509FF"/>
    <w:rsid w:val="008511BE"/>
    <w:rsid w:val="00851BE2"/>
    <w:rsid w:val="00852548"/>
    <w:rsid w:val="00853529"/>
    <w:rsid w:val="00853E54"/>
    <w:rsid w:val="008546A1"/>
    <w:rsid w:val="00854798"/>
    <w:rsid w:val="00854970"/>
    <w:rsid w:val="008549BE"/>
    <w:rsid w:val="00854E49"/>
    <w:rsid w:val="008551EB"/>
    <w:rsid w:val="0085521F"/>
    <w:rsid w:val="008559EB"/>
    <w:rsid w:val="00856D25"/>
    <w:rsid w:val="008573BE"/>
    <w:rsid w:val="0085776C"/>
    <w:rsid w:val="0085780F"/>
    <w:rsid w:val="00857CA7"/>
    <w:rsid w:val="008602B1"/>
    <w:rsid w:val="00860313"/>
    <w:rsid w:val="00860BF3"/>
    <w:rsid w:val="00861534"/>
    <w:rsid w:val="00861BA5"/>
    <w:rsid w:val="00862464"/>
    <w:rsid w:val="00862545"/>
    <w:rsid w:val="00863154"/>
    <w:rsid w:val="008635C7"/>
    <w:rsid w:val="008635F4"/>
    <w:rsid w:val="008637A9"/>
    <w:rsid w:val="0086492B"/>
    <w:rsid w:val="00864A12"/>
    <w:rsid w:val="00864AAC"/>
    <w:rsid w:val="00864BB5"/>
    <w:rsid w:val="00864E4A"/>
    <w:rsid w:val="008650CB"/>
    <w:rsid w:val="0086580D"/>
    <w:rsid w:val="00866182"/>
    <w:rsid w:val="008661AB"/>
    <w:rsid w:val="008662E3"/>
    <w:rsid w:val="00866612"/>
    <w:rsid w:val="008666BD"/>
    <w:rsid w:val="0086694F"/>
    <w:rsid w:val="00866CDD"/>
    <w:rsid w:val="00867148"/>
    <w:rsid w:val="008672DF"/>
    <w:rsid w:val="00867408"/>
    <w:rsid w:val="00867564"/>
    <w:rsid w:val="008677A5"/>
    <w:rsid w:val="00867DE1"/>
    <w:rsid w:val="00870D96"/>
    <w:rsid w:val="00870DC1"/>
    <w:rsid w:val="00871222"/>
    <w:rsid w:val="00871A51"/>
    <w:rsid w:val="0087233B"/>
    <w:rsid w:val="008728A8"/>
    <w:rsid w:val="008736BB"/>
    <w:rsid w:val="00873EC4"/>
    <w:rsid w:val="00874651"/>
    <w:rsid w:val="008748E9"/>
    <w:rsid w:val="008749E9"/>
    <w:rsid w:val="00874E22"/>
    <w:rsid w:val="008750C3"/>
    <w:rsid w:val="008750EF"/>
    <w:rsid w:val="0087591F"/>
    <w:rsid w:val="00875AE8"/>
    <w:rsid w:val="00875B54"/>
    <w:rsid w:val="008760B6"/>
    <w:rsid w:val="0087611C"/>
    <w:rsid w:val="008762BD"/>
    <w:rsid w:val="008766FE"/>
    <w:rsid w:val="00876E56"/>
    <w:rsid w:val="00877344"/>
    <w:rsid w:val="008775B8"/>
    <w:rsid w:val="00877651"/>
    <w:rsid w:val="0088060C"/>
    <w:rsid w:val="00880634"/>
    <w:rsid w:val="008808D5"/>
    <w:rsid w:val="00881644"/>
    <w:rsid w:val="008818C5"/>
    <w:rsid w:val="008818E6"/>
    <w:rsid w:val="008819A9"/>
    <w:rsid w:val="00881A2D"/>
    <w:rsid w:val="00881BA4"/>
    <w:rsid w:val="00881C62"/>
    <w:rsid w:val="00882605"/>
    <w:rsid w:val="00882675"/>
    <w:rsid w:val="008826E7"/>
    <w:rsid w:val="0088308C"/>
    <w:rsid w:val="008837C3"/>
    <w:rsid w:val="00883B0E"/>
    <w:rsid w:val="00884348"/>
    <w:rsid w:val="008843C7"/>
    <w:rsid w:val="00885AB9"/>
    <w:rsid w:val="00885BCC"/>
    <w:rsid w:val="00885F3E"/>
    <w:rsid w:val="00886310"/>
    <w:rsid w:val="0088662B"/>
    <w:rsid w:val="00887171"/>
    <w:rsid w:val="00887267"/>
    <w:rsid w:val="00887427"/>
    <w:rsid w:val="0088759D"/>
    <w:rsid w:val="00890704"/>
    <w:rsid w:val="00890887"/>
    <w:rsid w:val="00890ED9"/>
    <w:rsid w:val="00891553"/>
    <w:rsid w:val="0089157A"/>
    <w:rsid w:val="00891593"/>
    <w:rsid w:val="00891EBE"/>
    <w:rsid w:val="00892400"/>
    <w:rsid w:val="00892454"/>
    <w:rsid w:val="008927F2"/>
    <w:rsid w:val="00892851"/>
    <w:rsid w:val="008931C2"/>
    <w:rsid w:val="00893233"/>
    <w:rsid w:val="00893D45"/>
    <w:rsid w:val="0089402E"/>
    <w:rsid w:val="0089420F"/>
    <w:rsid w:val="0089431B"/>
    <w:rsid w:val="008943E4"/>
    <w:rsid w:val="008949EC"/>
    <w:rsid w:val="00894A5D"/>
    <w:rsid w:val="00894B48"/>
    <w:rsid w:val="00895276"/>
    <w:rsid w:val="00895416"/>
    <w:rsid w:val="008958FD"/>
    <w:rsid w:val="00895EA4"/>
    <w:rsid w:val="008964E7"/>
    <w:rsid w:val="00896536"/>
    <w:rsid w:val="008965A1"/>
    <w:rsid w:val="00896863"/>
    <w:rsid w:val="00896A27"/>
    <w:rsid w:val="00896E2E"/>
    <w:rsid w:val="00896EAC"/>
    <w:rsid w:val="0089714D"/>
    <w:rsid w:val="00897A9E"/>
    <w:rsid w:val="00897B09"/>
    <w:rsid w:val="00897DD5"/>
    <w:rsid w:val="008A01AA"/>
    <w:rsid w:val="008A03A2"/>
    <w:rsid w:val="008A0B81"/>
    <w:rsid w:val="008A0E50"/>
    <w:rsid w:val="008A109C"/>
    <w:rsid w:val="008A151F"/>
    <w:rsid w:val="008A1CF4"/>
    <w:rsid w:val="008A1E10"/>
    <w:rsid w:val="008A39AA"/>
    <w:rsid w:val="008A3E10"/>
    <w:rsid w:val="008A3FED"/>
    <w:rsid w:val="008A41AA"/>
    <w:rsid w:val="008A4209"/>
    <w:rsid w:val="008A4470"/>
    <w:rsid w:val="008A4B8C"/>
    <w:rsid w:val="008A4C4A"/>
    <w:rsid w:val="008A583C"/>
    <w:rsid w:val="008A5D8E"/>
    <w:rsid w:val="008A6084"/>
    <w:rsid w:val="008A619B"/>
    <w:rsid w:val="008A63B6"/>
    <w:rsid w:val="008A660B"/>
    <w:rsid w:val="008A6F7E"/>
    <w:rsid w:val="008A708B"/>
    <w:rsid w:val="008A72A1"/>
    <w:rsid w:val="008A7CD2"/>
    <w:rsid w:val="008B0518"/>
    <w:rsid w:val="008B0C7F"/>
    <w:rsid w:val="008B116C"/>
    <w:rsid w:val="008B21A0"/>
    <w:rsid w:val="008B2CCC"/>
    <w:rsid w:val="008B2FA8"/>
    <w:rsid w:val="008B3E3E"/>
    <w:rsid w:val="008B3EC5"/>
    <w:rsid w:val="008B3FC0"/>
    <w:rsid w:val="008B48B6"/>
    <w:rsid w:val="008B4944"/>
    <w:rsid w:val="008B5444"/>
    <w:rsid w:val="008B54E5"/>
    <w:rsid w:val="008B56CE"/>
    <w:rsid w:val="008B5CD3"/>
    <w:rsid w:val="008B5D9E"/>
    <w:rsid w:val="008B5DF8"/>
    <w:rsid w:val="008B5EEA"/>
    <w:rsid w:val="008B639D"/>
    <w:rsid w:val="008B65A9"/>
    <w:rsid w:val="008B717E"/>
    <w:rsid w:val="008B7262"/>
    <w:rsid w:val="008B7858"/>
    <w:rsid w:val="008B7C54"/>
    <w:rsid w:val="008B7C6D"/>
    <w:rsid w:val="008C0358"/>
    <w:rsid w:val="008C0942"/>
    <w:rsid w:val="008C0F12"/>
    <w:rsid w:val="008C0FD7"/>
    <w:rsid w:val="008C1060"/>
    <w:rsid w:val="008C1353"/>
    <w:rsid w:val="008C182D"/>
    <w:rsid w:val="008C1CB9"/>
    <w:rsid w:val="008C1E0A"/>
    <w:rsid w:val="008C1E2F"/>
    <w:rsid w:val="008C20F8"/>
    <w:rsid w:val="008C20FF"/>
    <w:rsid w:val="008C24A3"/>
    <w:rsid w:val="008C28C0"/>
    <w:rsid w:val="008C31D1"/>
    <w:rsid w:val="008C3220"/>
    <w:rsid w:val="008C3BB2"/>
    <w:rsid w:val="008C42D1"/>
    <w:rsid w:val="008C4936"/>
    <w:rsid w:val="008C4AAA"/>
    <w:rsid w:val="008C6A5F"/>
    <w:rsid w:val="008C6AD5"/>
    <w:rsid w:val="008C6F3E"/>
    <w:rsid w:val="008C70CD"/>
    <w:rsid w:val="008C7538"/>
    <w:rsid w:val="008D03D9"/>
    <w:rsid w:val="008D0773"/>
    <w:rsid w:val="008D079D"/>
    <w:rsid w:val="008D0BE2"/>
    <w:rsid w:val="008D0D4A"/>
    <w:rsid w:val="008D1376"/>
    <w:rsid w:val="008D1460"/>
    <w:rsid w:val="008D1905"/>
    <w:rsid w:val="008D2540"/>
    <w:rsid w:val="008D2996"/>
    <w:rsid w:val="008D2AB9"/>
    <w:rsid w:val="008D2CF0"/>
    <w:rsid w:val="008D2E31"/>
    <w:rsid w:val="008D352D"/>
    <w:rsid w:val="008D3687"/>
    <w:rsid w:val="008D3861"/>
    <w:rsid w:val="008D4013"/>
    <w:rsid w:val="008D42AA"/>
    <w:rsid w:val="008D46C3"/>
    <w:rsid w:val="008D4834"/>
    <w:rsid w:val="008D4940"/>
    <w:rsid w:val="008D4A36"/>
    <w:rsid w:val="008D4BB7"/>
    <w:rsid w:val="008D4C85"/>
    <w:rsid w:val="008D52F0"/>
    <w:rsid w:val="008D5401"/>
    <w:rsid w:val="008D5894"/>
    <w:rsid w:val="008D60D4"/>
    <w:rsid w:val="008D632A"/>
    <w:rsid w:val="008D650A"/>
    <w:rsid w:val="008D65D9"/>
    <w:rsid w:val="008D670F"/>
    <w:rsid w:val="008D693D"/>
    <w:rsid w:val="008D6AB0"/>
    <w:rsid w:val="008D6AF8"/>
    <w:rsid w:val="008D730C"/>
    <w:rsid w:val="008D73BB"/>
    <w:rsid w:val="008D7BDA"/>
    <w:rsid w:val="008D7E3B"/>
    <w:rsid w:val="008E13BC"/>
    <w:rsid w:val="008E14DF"/>
    <w:rsid w:val="008E14EE"/>
    <w:rsid w:val="008E1591"/>
    <w:rsid w:val="008E1CB4"/>
    <w:rsid w:val="008E2707"/>
    <w:rsid w:val="008E2A18"/>
    <w:rsid w:val="008E2ACA"/>
    <w:rsid w:val="008E3B90"/>
    <w:rsid w:val="008E4A2A"/>
    <w:rsid w:val="008E4BB6"/>
    <w:rsid w:val="008E50D0"/>
    <w:rsid w:val="008E5AFF"/>
    <w:rsid w:val="008E6297"/>
    <w:rsid w:val="008E6A11"/>
    <w:rsid w:val="008E6AD8"/>
    <w:rsid w:val="008E6E4D"/>
    <w:rsid w:val="008E6FD2"/>
    <w:rsid w:val="008E7B1B"/>
    <w:rsid w:val="008E7FD6"/>
    <w:rsid w:val="008F0100"/>
    <w:rsid w:val="008F02BF"/>
    <w:rsid w:val="008F03B8"/>
    <w:rsid w:val="008F0757"/>
    <w:rsid w:val="008F092A"/>
    <w:rsid w:val="008F0977"/>
    <w:rsid w:val="008F0C9F"/>
    <w:rsid w:val="008F12AA"/>
    <w:rsid w:val="008F13CE"/>
    <w:rsid w:val="008F1567"/>
    <w:rsid w:val="008F1D47"/>
    <w:rsid w:val="008F1F18"/>
    <w:rsid w:val="008F23EC"/>
    <w:rsid w:val="008F3842"/>
    <w:rsid w:val="008F3DD1"/>
    <w:rsid w:val="008F41C7"/>
    <w:rsid w:val="008F4CA8"/>
    <w:rsid w:val="008F4CB0"/>
    <w:rsid w:val="008F5183"/>
    <w:rsid w:val="008F547B"/>
    <w:rsid w:val="008F593E"/>
    <w:rsid w:val="008F598B"/>
    <w:rsid w:val="008F5B0D"/>
    <w:rsid w:val="008F5F81"/>
    <w:rsid w:val="008F684B"/>
    <w:rsid w:val="008F6CD2"/>
    <w:rsid w:val="008F6E08"/>
    <w:rsid w:val="008F7996"/>
    <w:rsid w:val="008F7BDA"/>
    <w:rsid w:val="008F7BFD"/>
    <w:rsid w:val="00900177"/>
    <w:rsid w:val="00900231"/>
    <w:rsid w:val="009004AB"/>
    <w:rsid w:val="00900571"/>
    <w:rsid w:val="00901243"/>
    <w:rsid w:val="0090155D"/>
    <w:rsid w:val="009016C1"/>
    <w:rsid w:val="009019ED"/>
    <w:rsid w:val="00901C02"/>
    <w:rsid w:val="00901D4C"/>
    <w:rsid w:val="00901D7A"/>
    <w:rsid w:val="00901FA0"/>
    <w:rsid w:val="0090218A"/>
    <w:rsid w:val="00902505"/>
    <w:rsid w:val="0090278F"/>
    <w:rsid w:val="009029EF"/>
    <w:rsid w:val="00902AD3"/>
    <w:rsid w:val="00902B6E"/>
    <w:rsid w:val="009030A3"/>
    <w:rsid w:val="0090363B"/>
    <w:rsid w:val="0090391E"/>
    <w:rsid w:val="00903B61"/>
    <w:rsid w:val="009042EB"/>
    <w:rsid w:val="009043AC"/>
    <w:rsid w:val="00904493"/>
    <w:rsid w:val="009047A9"/>
    <w:rsid w:val="00905385"/>
    <w:rsid w:val="009062F5"/>
    <w:rsid w:val="00906418"/>
    <w:rsid w:val="0090686E"/>
    <w:rsid w:val="0090764E"/>
    <w:rsid w:val="00907B68"/>
    <w:rsid w:val="00910321"/>
    <w:rsid w:val="00910924"/>
    <w:rsid w:val="00910BA4"/>
    <w:rsid w:val="00910C25"/>
    <w:rsid w:val="00910C5D"/>
    <w:rsid w:val="009112DB"/>
    <w:rsid w:val="00911725"/>
    <w:rsid w:val="0091186A"/>
    <w:rsid w:val="009120EE"/>
    <w:rsid w:val="00912ADE"/>
    <w:rsid w:val="00912C81"/>
    <w:rsid w:val="00912FBA"/>
    <w:rsid w:val="009134E1"/>
    <w:rsid w:val="009135A6"/>
    <w:rsid w:val="00913827"/>
    <w:rsid w:val="00913981"/>
    <w:rsid w:val="00913F52"/>
    <w:rsid w:val="009140EE"/>
    <w:rsid w:val="0091473C"/>
    <w:rsid w:val="00914A23"/>
    <w:rsid w:val="00914C7C"/>
    <w:rsid w:val="00915ED6"/>
    <w:rsid w:val="00916177"/>
    <w:rsid w:val="0091628E"/>
    <w:rsid w:val="00916914"/>
    <w:rsid w:val="009169D9"/>
    <w:rsid w:val="00916A7D"/>
    <w:rsid w:val="00917203"/>
    <w:rsid w:val="009173EC"/>
    <w:rsid w:val="0091777C"/>
    <w:rsid w:val="0091778D"/>
    <w:rsid w:val="00917D23"/>
    <w:rsid w:val="009202B2"/>
    <w:rsid w:val="00920E60"/>
    <w:rsid w:val="009210F5"/>
    <w:rsid w:val="0092131B"/>
    <w:rsid w:val="00921540"/>
    <w:rsid w:val="0092197E"/>
    <w:rsid w:val="0092199C"/>
    <w:rsid w:val="00921BCA"/>
    <w:rsid w:val="00921F33"/>
    <w:rsid w:val="00922337"/>
    <w:rsid w:val="009228C4"/>
    <w:rsid w:val="00922E6C"/>
    <w:rsid w:val="00922E74"/>
    <w:rsid w:val="00922EFC"/>
    <w:rsid w:val="00923114"/>
    <w:rsid w:val="00923140"/>
    <w:rsid w:val="0092328F"/>
    <w:rsid w:val="009233AB"/>
    <w:rsid w:val="00923481"/>
    <w:rsid w:val="00923832"/>
    <w:rsid w:val="00923BE8"/>
    <w:rsid w:val="00923E1C"/>
    <w:rsid w:val="009240A9"/>
    <w:rsid w:val="00924FA1"/>
    <w:rsid w:val="009253C8"/>
    <w:rsid w:val="009253CC"/>
    <w:rsid w:val="009254AD"/>
    <w:rsid w:val="0092555F"/>
    <w:rsid w:val="00925954"/>
    <w:rsid w:val="00925E8B"/>
    <w:rsid w:val="0092650E"/>
    <w:rsid w:val="0092664D"/>
    <w:rsid w:val="0092755A"/>
    <w:rsid w:val="00930446"/>
    <w:rsid w:val="00930830"/>
    <w:rsid w:val="0093090B"/>
    <w:rsid w:val="00930C14"/>
    <w:rsid w:val="0093161B"/>
    <w:rsid w:val="0093186D"/>
    <w:rsid w:val="0093187D"/>
    <w:rsid w:val="00931B79"/>
    <w:rsid w:val="00931C26"/>
    <w:rsid w:val="00931FE2"/>
    <w:rsid w:val="009325C5"/>
    <w:rsid w:val="00932DA7"/>
    <w:rsid w:val="00934F6B"/>
    <w:rsid w:val="0093546D"/>
    <w:rsid w:val="00935BB7"/>
    <w:rsid w:val="00935DD2"/>
    <w:rsid w:val="00935E67"/>
    <w:rsid w:val="00935F84"/>
    <w:rsid w:val="0093603C"/>
    <w:rsid w:val="00936783"/>
    <w:rsid w:val="0093700A"/>
    <w:rsid w:val="009371A3"/>
    <w:rsid w:val="0093721E"/>
    <w:rsid w:val="009375BE"/>
    <w:rsid w:val="00937D2C"/>
    <w:rsid w:val="00937F4A"/>
    <w:rsid w:val="009403D1"/>
    <w:rsid w:val="00940BDC"/>
    <w:rsid w:val="0094128F"/>
    <w:rsid w:val="009419EF"/>
    <w:rsid w:val="00941E9D"/>
    <w:rsid w:val="0094220A"/>
    <w:rsid w:val="00942A8F"/>
    <w:rsid w:val="00942BF8"/>
    <w:rsid w:val="00942D2E"/>
    <w:rsid w:val="0094311C"/>
    <w:rsid w:val="00943762"/>
    <w:rsid w:val="00943B0C"/>
    <w:rsid w:val="00943EB9"/>
    <w:rsid w:val="00943F18"/>
    <w:rsid w:val="0094478E"/>
    <w:rsid w:val="009449FD"/>
    <w:rsid w:val="00944C6F"/>
    <w:rsid w:val="00945334"/>
    <w:rsid w:val="009453D7"/>
    <w:rsid w:val="009454BE"/>
    <w:rsid w:val="00945A33"/>
    <w:rsid w:val="00946051"/>
    <w:rsid w:val="00947219"/>
    <w:rsid w:val="00947C9F"/>
    <w:rsid w:val="00950123"/>
    <w:rsid w:val="00950287"/>
    <w:rsid w:val="00950BAC"/>
    <w:rsid w:val="009519EB"/>
    <w:rsid w:val="00951D09"/>
    <w:rsid w:val="00951F62"/>
    <w:rsid w:val="0095209D"/>
    <w:rsid w:val="009521FF"/>
    <w:rsid w:val="0095237D"/>
    <w:rsid w:val="009524B0"/>
    <w:rsid w:val="009536D7"/>
    <w:rsid w:val="00953F23"/>
    <w:rsid w:val="009540DD"/>
    <w:rsid w:val="00954490"/>
    <w:rsid w:val="009548C8"/>
    <w:rsid w:val="00954AB6"/>
    <w:rsid w:val="00954C90"/>
    <w:rsid w:val="00955285"/>
    <w:rsid w:val="0095528B"/>
    <w:rsid w:val="00955476"/>
    <w:rsid w:val="009555BB"/>
    <w:rsid w:val="0095577D"/>
    <w:rsid w:val="00955A81"/>
    <w:rsid w:val="00955CB8"/>
    <w:rsid w:val="00955E4A"/>
    <w:rsid w:val="0095666C"/>
    <w:rsid w:val="00956A6A"/>
    <w:rsid w:val="00956B52"/>
    <w:rsid w:val="00956E2A"/>
    <w:rsid w:val="00957053"/>
    <w:rsid w:val="00957202"/>
    <w:rsid w:val="0096075F"/>
    <w:rsid w:val="009607B6"/>
    <w:rsid w:val="00960DCB"/>
    <w:rsid w:val="0096139E"/>
    <w:rsid w:val="0096141D"/>
    <w:rsid w:val="00963D4F"/>
    <w:rsid w:val="00963E1D"/>
    <w:rsid w:val="0096430B"/>
    <w:rsid w:val="00964C67"/>
    <w:rsid w:val="00964D0A"/>
    <w:rsid w:val="00965A9C"/>
    <w:rsid w:val="00965FF4"/>
    <w:rsid w:val="00966087"/>
    <w:rsid w:val="009669CB"/>
    <w:rsid w:val="00966B35"/>
    <w:rsid w:val="00966BDE"/>
    <w:rsid w:val="009670B9"/>
    <w:rsid w:val="00967301"/>
    <w:rsid w:val="0096745A"/>
    <w:rsid w:val="009675F0"/>
    <w:rsid w:val="00967724"/>
    <w:rsid w:val="00967FC1"/>
    <w:rsid w:val="00970141"/>
    <w:rsid w:val="00971026"/>
    <w:rsid w:val="00971B8E"/>
    <w:rsid w:val="009724C9"/>
    <w:rsid w:val="00972717"/>
    <w:rsid w:val="00972B15"/>
    <w:rsid w:val="00972DF8"/>
    <w:rsid w:val="00973046"/>
    <w:rsid w:val="009738EE"/>
    <w:rsid w:val="00973ADF"/>
    <w:rsid w:val="00973E6A"/>
    <w:rsid w:val="00974DF8"/>
    <w:rsid w:val="00974E96"/>
    <w:rsid w:val="00975479"/>
    <w:rsid w:val="009759D6"/>
    <w:rsid w:val="00975F03"/>
    <w:rsid w:val="00975FAD"/>
    <w:rsid w:val="009760DC"/>
    <w:rsid w:val="009774B6"/>
    <w:rsid w:val="009776BD"/>
    <w:rsid w:val="00977999"/>
    <w:rsid w:val="009800A1"/>
    <w:rsid w:val="00980140"/>
    <w:rsid w:val="009801E0"/>
    <w:rsid w:val="00980201"/>
    <w:rsid w:val="0098061C"/>
    <w:rsid w:val="0098095D"/>
    <w:rsid w:val="0098100C"/>
    <w:rsid w:val="0098112C"/>
    <w:rsid w:val="00981629"/>
    <w:rsid w:val="009816A5"/>
    <w:rsid w:val="009818F7"/>
    <w:rsid w:val="009820EA"/>
    <w:rsid w:val="00982A66"/>
    <w:rsid w:val="00982B93"/>
    <w:rsid w:val="00982E80"/>
    <w:rsid w:val="00983320"/>
    <w:rsid w:val="00983378"/>
    <w:rsid w:val="009841C7"/>
    <w:rsid w:val="009843F1"/>
    <w:rsid w:val="0098456E"/>
    <w:rsid w:val="00984596"/>
    <w:rsid w:val="009852FF"/>
    <w:rsid w:val="009859FE"/>
    <w:rsid w:val="00985DBD"/>
    <w:rsid w:val="00985FC5"/>
    <w:rsid w:val="0098640B"/>
    <w:rsid w:val="00986584"/>
    <w:rsid w:val="00986B89"/>
    <w:rsid w:val="00986DA6"/>
    <w:rsid w:val="00987634"/>
    <w:rsid w:val="009878F7"/>
    <w:rsid w:val="00987B77"/>
    <w:rsid w:val="0099044B"/>
    <w:rsid w:val="00990560"/>
    <w:rsid w:val="00990E21"/>
    <w:rsid w:val="009912A5"/>
    <w:rsid w:val="00991456"/>
    <w:rsid w:val="00991944"/>
    <w:rsid w:val="00991F12"/>
    <w:rsid w:val="00992A6F"/>
    <w:rsid w:val="00993E8B"/>
    <w:rsid w:val="0099408E"/>
    <w:rsid w:val="00995534"/>
    <w:rsid w:val="009957F2"/>
    <w:rsid w:val="00995DC8"/>
    <w:rsid w:val="009963FF"/>
    <w:rsid w:val="00996516"/>
    <w:rsid w:val="0099656F"/>
    <w:rsid w:val="00996928"/>
    <w:rsid w:val="00996AF7"/>
    <w:rsid w:val="00996DA9"/>
    <w:rsid w:val="00996E1B"/>
    <w:rsid w:val="009972D6"/>
    <w:rsid w:val="009A036A"/>
    <w:rsid w:val="009A0759"/>
    <w:rsid w:val="009A0AEE"/>
    <w:rsid w:val="009A11C7"/>
    <w:rsid w:val="009A1599"/>
    <w:rsid w:val="009A3316"/>
    <w:rsid w:val="009A3E2C"/>
    <w:rsid w:val="009A44BB"/>
    <w:rsid w:val="009A4F80"/>
    <w:rsid w:val="009A501A"/>
    <w:rsid w:val="009A6574"/>
    <w:rsid w:val="009A6E94"/>
    <w:rsid w:val="009A7204"/>
    <w:rsid w:val="009B0190"/>
    <w:rsid w:val="009B01C7"/>
    <w:rsid w:val="009B0292"/>
    <w:rsid w:val="009B0363"/>
    <w:rsid w:val="009B1A7D"/>
    <w:rsid w:val="009B1CA5"/>
    <w:rsid w:val="009B1D0A"/>
    <w:rsid w:val="009B200C"/>
    <w:rsid w:val="009B2060"/>
    <w:rsid w:val="009B2427"/>
    <w:rsid w:val="009B2A3A"/>
    <w:rsid w:val="009B2C6C"/>
    <w:rsid w:val="009B32EC"/>
    <w:rsid w:val="009B34EC"/>
    <w:rsid w:val="009B37F0"/>
    <w:rsid w:val="009B3AC4"/>
    <w:rsid w:val="009B3CCB"/>
    <w:rsid w:val="009B3D8B"/>
    <w:rsid w:val="009B3DDD"/>
    <w:rsid w:val="009B3DF6"/>
    <w:rsid w:val="009B412A"/>
    <w:rsid w:val="009B4AC1"/>
    <w:rsid w:val="009B540B"/>
    <w:rsid w:val="009B56B2"/>
    <w:rsid w:val="009B56E4"/>
    <w:rsid w:val="009B5737"/>
    <w:rsid w:val="009B619D"/>
    <w:rsid w:val="009B68C7"/>
    <w:rsid w:val="009B7192"/>
    <w:rsid w:val="009B7461"/>
    <w:rsid w:val="009B7483"/>
    <w:rsid w:val="009B7660"/>
    <w:rsid w:val="009B77ED"/>
    <w:rsid w:val="009B7C7E"/>
    <w:rsid w:val="009C07F2"/>
    <w:rsid w:val="009C0ACE"/>
    <w:rsid w:val="009C1349"/>
    <w:rsid w:val="009C18B6"/>
    <w:rsid w:val="009C1C96"/>
    <w:rsid w:val="009C2460"/>
    <w:rsid w:val="009C26AE"/>
    <w:rsid w:val="009C2C93"/>
    <w:rsid w:val="009C2D88"/>
    <w:rsid w:val="009C33EF"/>
    <w:rsid w:val="009C38B5"/>
    <w:rsid w:val="009C3C53"/>
    <w:rsid w:val="009C45DE"/>
    <w:rsid w:val="009C4FC9"/>
    <w:rsid w:val="009C50D4"/>
    <w:rsid w:val="009C57BC"/>
    <w:rsid w:val="009C5EEE"/>
    <w:rsid w:val="009C631F"/>
    <w:rsid w:val="009C6553"/>
    <w:rsid w:val="009C66E0"/>
    <w:rsid w:val="009C69F5"/>
    <w:rsid w:val="009C6D03"/>
    <w:rsid w:val="009C71FB"/>
    <w:rsid w:val="009C77BA"/>
    <w:rsid w:val="009C7919"/>
    <w:rsid w:val="009C7A6D"/>
    <w:rsid w:val="009C7E39"/>
    <w:rsid w:val="009D03BE"/>
    <w:rsid w:val="009D084C"/>
    <w:rsid w:val="009D092D"/>
    <w:rsid w:val="009D12B2"/>
    <w:rsid w:val="009D132D"/>
    <w:rsid w:val="009D1624"/>
    <w:rsid w:val="009D182F"/>
    <w:rsid w:val="009D1887"/>
    <w:rsid w:val="009D1F20"/>
    <w:rsid w:val="009D250C"/>
    <w:rsid w:val="009D27DC"/>
    <w:rsid w:val="009D2A54"/>
    <w:rsid w:val="009D2C9E"/>
    <w:rsid w:val="009D32EA"/>
    <w:rsid w:val="009D3493"/>
    <w:rsid w:val="009D36BE"/>
    <w:rsid w:val="009D3AA5"/>
    <w:rsid w:val="009D3ABC"/>
    <w:rsid w:val="009D3BE6"/>
    <w:rsid w:val="009D494D"/>
    <w:rsid w:val="009D4A20"/>
    <w:rsid w:val="009D5BEE"/>
    <w:rsid w:val="009D5BF8"/>
    <w:rsid w:val="009D5D43"/>
    <w:rsid w:val="009D61E7"/>
    <w:rsid w:val="009D6C33"/>
    <w:rsid w:val="009D6ED6"/>
    <w:rsid w:val="009D7162"/>
    <w:rsid w:val="009D7191"/>
    <w:rsid w:val="009D785F"/>
    <w:rsid w:val="009E03AF"/>
    <w:rsid w:val="009E05E8"/>
    <w:rsid w:val="009E05ED"/>
    <w:rsid w:val="009E0CE8"/>
    <w:rsid w:val="009E12C9"/>
    <w:rsid w:val="009E12E8"/>
    <w:rsid w:val="009E1947"/>
    <w:rsid w:val="009E1C34"/>
    <w:rsid w:val="009E2CA9"/>
    <w:rsid w:val="009E2D15"/>
    <w:rsid w:val="009E2E68"/>
    <w:rsid w:val="009E2FFA"/>
    <w:rsid w:val="009E3408"/>
    <w:rsid w:val="009E39AA"/>
    <w:rsid w:val="009E3F82"/>
    <w:rsid w:val="009E3FA9"/>
    <w:rsid w:val="009E3FFE"/>
    <w:rsid w:val="009E423E"/>
    <w:rsid w:val="009E4339"/>
    <w:rsid w:val="009E4744"/>
    <w:rsid w:val="009E49B4"/>
    <w:rsid w:val="009E4C42"/>
    <w:rsid w:val="009E50B5"/>
    <w:rsid w:val="009E5B5F"/>
    <w:rsid w:val="009E5DA0"/>
    <w:rsid w:val="009E6112"/>
    <w:rsid w:val="009E660F"/>
    <w:rsid w:val="009E6684"/>
    <w:rsid w:val="009E67FB"/>
    <w:rsid w:val="009E6C0C"/>
    <w:rsid w:val="009E6C91"/>
    <w:rsid w:val="009E728E"/>
    <w:rsid w:val="009E76EC"/>
    <w:rsid w:val="009E7A53"/>
    <w:rsid w:val="009E7D53"/>
    <w:rsid w:val="009F0086"/>
    <w:rsid w:val="009F0143"/>
    <w:rsid w:val="009F06BB"/>
    <w:rsid w:val="009F08BB"/>
    <w:rsid w:val="009F0ABD"/>
    <w:rsid w:val="009F0B5E"/>
    <w:rsid w:val="009F0EFA"/>
    <w:rsid w:val="009F1138"/>
    <w:rsid w:val="009F1536"/>
    <w:rsid w:val="009F19D4"/>
    <w:rsid w:val="009F1D58"/>
    <w:rsid w:val="009F1EB9"/>
    <w:rsid w:val="009F2118"/>
    <w:rsid w:val="009F248A"/>
    <w:rsid w:val="009F24C8"/>
    <w:rsid w:val="009F2856"/>
    <w:rsid w:val="009F2863"/>
    <w:rsid w:val="009F2963"/>
    <w:rsid w:val="009F32EC"/>
    <w:rsid w:val="009F41CA"/>
    <w:rsid w:val="009F41D1"/>
    <w:rsid w:val="009F4408"/>
    <w:rsid w:val="009F4600"/>
    <w:rsid w:val="009F4CC5"/>
    <w:rsid w:val="009F4DE6"/>
    <w:rsid w:val="009F4EAD"/>
    <w:rsid w:val="009F4F5E"/>
    <w:rsid w:val="009F51BD"/>
    <w:rsid w:val="009F56FC"/>
    <w:rsid w:val="009F5F94"/>
    <w:rsid w:val="009F61B7"/>
    <w:rsid w:val="009F638D"/>
    <w:rsid w:val="009F64CD"/>
    <w:rsid w:val="009F6593"/>
    <w:rsid w:val="009F67B4"/>
    <w:rsid w:val="009F7124"/>
    <w:rsid w:val="009F732F"/>
    <w:rsid w:val="009F7B42"/>
    <w:rsid w:val="00A0000D"/>
    <w:rsid w:val="00A0040E"/>
    <w:rsid w:val="00A01456"/>
    <w:rsid w:val="00A0267C"/>
    <w:rsid w:val="00A02A04"/>
    <w:rsid w:val="00A02B4B"/>
    <w:rsid w:val="00A02FEC"/>
    <w:rsid w:val="00A03859"/>
    <w:rsid w:val="00A0388A"/>
    <w:rsid w:val="00A03CD8"/>
    <w:rsid w:val="00A03CEF"/>
    <w:rsid w:val="00A04421"/>
    <w:rsid w:val="00A050D1"/>
    <w:rsid w:val="00A05100"/>
    <w:rsid w:val="00A05DAC"/>
    <w:rsid w:val="00A065CF"/>
    <w:rsid w:val="00A06736"/>
    <w:rsid w:val="00A06FB6"/>
    <w:rsid w:val="00A07836"/>
    <w:rsid w:val="00A07932"/>
    <w:rsid w:val="00A079D3"/>
    <w:rsid w:val="00A10989"/>
    <w:rsid w:val="00A119F7"/>
    <w:rsid w:val="00A11A02"/>
    <w:rsid w:val="00A11DD3"/>
    <w:rsid w:val="00A1240B"/>
    <w:rsid w:val="00A12C44"/>
    <w:rsid w:val="00A136E4"/>
    <w:rsid w:val="00A13B62"/>
    <w:rsid w:val="00A13C93"/>
    <w:rsid w:val="00A1412F"/>
    <w:rsid w:val="00A1422E"/>
    <w:rsid w:val="00A143CA"/>
    <w:rsid w:val="00A149CD"/>
    <w:rsid w:val="00A149D8"/>
    <w:rsid w:val="00A14ADD"/>
    <w:rsid w:val="00A15D7B"/>
    <w:rsid w:val="00A1638E"/>
    <w:rsid w:val="00A164F1"/>
    <w:rsid w:val="00A16BC9"/>
    <w:rsid w:val="00A16CBC"/>
    <w:rsid w:val="00A16FAF"/>
    <w:rsid w:val="00A17067"/>
    <w:rsid w:val="00A17BB0"/>
    <w:rsid w:val="00A17F8D"/>
    <w:rsid w:val="00A207A5"/>
    <w:rsid w:val="00A20CD7"/>
    <w:rsid w:val="00A2141E"/>
    <w:rsid w:val="00A2170F"/>
    <w:rsid w:val="00A21E8A"/>
    <w:rsid w:val="00A221E4"/>
    <w:rsid w:val="00A22717"/>
    <w:rsid w:val="00A229A5"/>
    <w:rsid w:val="00A22CC3"/>
    <w:rsid w:val="00A22D4E"/>
    <w:rsid w:val="00A23509"/>
    <w:rsid w:val="00A23A16"/>
    <w:rsid w:val="00A23DA7"/>
    <w:rsid w:val="00A241EC"/>
    <w:rsid w:val="00A2435B"/>
    <w:rsid w:val="00A245A8"/>
    <w:rsid w:val="00A24C06"/>
    <w:rsid w:val="00A24FBF"/>
    <w:rsid w:val="00A25900"/>
    <w:rsid w:val="00A25A1D"/>
    <w:rsid w:val="00A25D0D"/>
    <w:rsid w:val="00A25E24"/>
    <w:rsid w:val="00A2605E"/>
    <w:rsid w:val="00A262B9"/>
    <w:rsid w:val="00A26E17"/>
    <w:rsid w:val="00A27593"/>
    <w:rsid w:val="00A30606"/>
    <w:rsid w:val="00A307BE"/>
    <w:rsid w:val="00A30BFF"/>
    <w:rsid w:val="00A30D96"/>
    <w:rsid w:val="00A30F54"/>
    <w:rsid w:val="00A31501"/>
    <w:rsid w:val="00A31643"/>
    <w:rsid w:val="00A31757"/>
    <w:rsid w:val="00A3194C"/>
    <w:rsid w:val="00A31AFD"/>
    <w:rsid w:val="00A31B1A"/>
    <w:rsid w:val="00A3216B"/>
    <w:rsid w:val="00A32172"/>
    <w:rsid w:val="00A32247"/>
    <w:rsid w:val="00A325FF"/>
    <w:rsid w:val="00A326DF"/>
    <w:rsid w:val="00A32942"/>
    <w:rsid w:val="00A32D73"/>
    <w:rsid w:val="00A332B2"/>
    <w:rsid w:val="00A338BD"/>
    <w:rsid w:val="00A343A4"/>
    <w:rsid w:val="00A3444E"/>
    <w:rsid w:val="00A3547C"/>
    <w:rsid w:val="00A364AC"/>
    <w:rsid w:val="00A36635"/>
    <w:rsid w:val="00A36977"/>
    <w:rsid w:val="00A36AE8"/>
    <w:rsid w:val="00A36B76"/>
    <w:rsid w:val="00A36BAB"/>
    <w:rsid w:val="00A374B2"/>
    <w:rsid w:val="00A3783E"/>
    <w:rsid w:val="00A37C10"/>
    <w:rsid w:val="00A37FAC"/>
    <w:rsid w:val="00A4077C"/>
    <w:rsid w:val="00A4198C"/>
    <w:rsid w:val="00A42360"/>
    <w:rsid w:val="00A42976"/>
    <w:rsid w:val="00A42B4E"/>
    <w:rsid w:val="00A42C81"/>
    <w:rsid w:val="00A42D29"/>
    <w:rsid w:val="00A42E6A"/>
    <w:rsid w:val="00A432B8"/>
    <w:rsid w:val="00A43437"/>
    <w:rsid w:val="00A43A05"/>
    <w:rsid w:val="00A43B11"/>
    <w:rsid w:val="00A44025"/>
    <w:rsid w:val="00A44360"/>
    <w:rsid w:val="00A44610"/>
    <w:rsid w:val="00A4475F"/>
    <w:rsid w:val="00A44CB7"/>
    <w:rsid w:val="00A456DC"/>
    <w:rsid w:val="00A45844"/>
    <w:rsid w:val="00A4633B"/>
    <w:rsid w:val="00A4683E"/>
    <w:rsid w:val="00A47826"/>
    <w:rsid w:val="00A47D28"/>
    <w:rsid w:val="00A47F45"/>
    <w:rsid w:val="00A47FE5"/>
    <w:rsid w:val="00A5080B"/>
    <w:rsid w:val="00A50C27"/>
    <w:rsid w:val="00A50E6B"/>
    <w:rsid w:val="00A512D4"/>
    <w:rsid w:val="00A51819"/>
    <w:rsid w:val="00A51986"/>
    <w:rsid w:val="00A51CFF"/>
    <w:rsid w:val="00A51F1B"/>
    <w:rsid w:val="00A520BC"/>
    <w:rsid w:val="00A521AD"/>
    <w:rsid w:val="00A52279"/>
    <w:rsid w:val="00A523FE"/>
    <w:rsid w:val="00A52742"/>
    <w:rsid w:val="00A52894"/>
    <w:rsid w:val="00A52A93"/>
    <w:rsid w:val="00A53501"/>
    <w:rsid w:val="00A538AE"/>
    <w:rsid w:val="00A53C7A"/>
    <w:rsid w:val="00A53F22"/>
    <w:rsid w:val="00A543C2"/>
    <w:rsid w:val="00A547FC"/>
    <w:rsid w:val="00A548A5"/>
    <w:rsid w:val="00A54EA1"/>
    <w:rsid w:val="00A55221"/>
    <w:rsid w:val="00A554A3"/>
    <w:rsid w:val="00A55662"/>
    <w:rsid w:val="00A55B72"/>
    <w:rsid w:val="00A5610A"/>
    <w:rsid w:val="00A57858"/>
    <w:rsid w:val="00A57CBB"/>
    <w:rsid w:val="00A607DF"/>
    <w:rsid w:val="00A6090C"/>
    <w:rsid w:val="00A60C4A"/>
    <w:rsid w:val="00A60CED"/>
    <w:rsid w:val="00A61048"/>
    <w:rsid w:val="00A6152A"/>
    <w:rsid w:val="00A61E0B"/>
    <w:rsid w:val="00A61F41"/>
    <w:rsid w:val="00A61F4E"/>
    <w:rsid w:val="00A62711"/>
    <w:rsid w:val="00A62A3F"/>
    <w:rsid w:val="00A62DAB"/>
    <w:rsid w:val="00A6310C"/>
    <w:rsid w:val="00A63A14"/>
    <w:rsid w:val="00A641FE"/>
    <w:rsid w:val="00A64916"/>
    <w:rsid w:val="00A64B9B"/>
    <w:rsid w:val="00A654AA"/>
    <w:rsid w:val="00A65A80"/>
    <w:rsid w:val="00A66078"/>
    <w:rsid w:val="00A66568"/>
    <w:rsid w:val="00A66993"/>
    <w:rsid w:val="00A66BE9"/>
    <w:rsid w:val="00A67053"/>
    <w:rsid w:val="00A67DE8"/>
    <w:rsid w:val="00A70438"/>
    <w:rsid w:val="00A707F2"/>
    <w:rsid w:val="00A710FB"/>
    <w:rsid w:val="00A711D3"/>
    <w:rsid w:val="00A71654"/>
    <w:rsid w:val="00A716D4"/>
    <w:rsid w:val="00A72592"/>
    <w:rsid w:val="00A727A7"/>
    <w:rsid w:val="00A72AEB"/>
    <w:rsid w:val="00A73DDC"/>
    <w:rsid w:val="00A743E2"/>
    <w:rsid w:val="00A7485D"/>
    <w:rsid w:val="00A74AB1"/>
    <w:rsid w:val="00A76711"/>
    <w:rsid w:val="00A76922"/>
    <w:rsid w:val="00A770EA"/>
    <w:rsid w:val="00A77404"/>
    <w:rsid w:val="00A77D91"/>
    <w:rsid w:val="00A800AD"/>
    <w:rsid w:val="00A803BB"/>
    <w:rsid w:val="00A80714"/>
    <w:rsid w:val="00A819A3"/>
    <w:rsid w:val="00A81C35"/>
    <w:rsid w:val="00A8264F"/>
    <w:rsid w:val="00A8270A"/>
    <w:rsid w:val="00A8276A"/>
    <w:rsid w:val="00A8285C"/>
    <w:rsid w:val="00A8315B"/>
    <w:rsid w:val="00A83364"/>
    <w:rsid w:val="00A8336E"/>
    <w:rsid w:val="00A83391"/>
    <w:rsid w:val="00A834A0"/>
    <w:rsid w:val="00A8359B"/>
    <w:rsid w:val="00A83602"/>
    <w:rsid w:val="00A83805"/>
    <w:rsid w:val="00A84752"/>
    <w:rsid w:val="00A84827"/>
    <w:rsid w:val="00A84BF4"/>
    <w:rsid w:val="00A850A5"/>
    <w:rsid w:val="00A8546F"/>
    <w:rsid w:val="00A85641"/>
    <w:rsid w:val="00A85862"/>
    <w:rsid w:val="00A863DD"/>
    <w:rsid w:val="00A871A0"/>
    <w:rsid w:val="00A871FC"/>
    <w:rsid w:val="00A87602"/>
    <w:rsid w:val="00A87AFE"/>
    <w:rsid w:val="00A87BBA"/>
    <w:rsid w:val="00A90259"/>
    <w:rsid w:val="00A90689"/>
    <w:rsid w:val="00A9078B"/>
    <w:rsid w:val="00A9078D"/>
    <w:rsid w:val="00A911F2"/>
    <w:rsid w:val="00A9185B"/>
    <w:rsid w:val="00A91F7D"/>
    <w:rsid w:val="00A9203D"/>
    <w:rsid w:val="00A92529"/>
    <w:rsid w:val="00A92CDC"/>
    <w:rsid w:val="00A93C0B"/>
    <w:rsid w:val="00A93CE4"/>
    <w:rsid w:val="00A94380"/>
    <w:rsid w:val="00A945A8"/>
    <w:rsid w:val="00A945BE"/>
    <w:rsid w:val="00A94CA8"/>
    <w:rsid w:val="00A953F3"/>
    <w:rsid w:val="00A955A6"/>
    <w:rsid w:val="00A9598B"/>
    <w:rsid w:val="00A96140"/>
    <w:rsid w:val="00A962C1"/>
    <w:rsid w:val="00A965EE"/>
    <w:rsid w:val="00A96BA2"/>
    <w:rsid w:val="00A975BE"/>
    <w:rsid w:val="00A976C7"/>
    <w:rsid w:val="00A97B99"/>
    <w:rsid w:val="00AA059F"/>
    <w:rsid w:val="00AA0D2E"/>
    <w:rsid w:val="00AA0FFB"/>
    <w:rsid w:val="00AA138D"/>
    <w:rsid w:val="00AA1517"/>
    <w:rsid w:val="00AA1886"/>
    <w:rsid w:val="00AA1A92"/>
    <w:rsid w:val="00AA1B6A"/>
    <w:rsid w:val="00AA1F94"/>
    <w:rsid w:val="00AA2717"/>
    <w:rsid w:val="00AA2C50"/>
    <w:rsid w:val="00AA2FC9"/>
    <w:rsid w:val="00AA3129"/>
    <w:rsid w:val="00AA31EE"/>
    <w:rsid w:val="00AA3775"/>
    <w:rsid w:val="00AA3F91"/>
    <w:rsid w:val="00AA425B"/>
    <w:rsid w:val="00AA5538"/>
    <w:rsid w:val="00AA5570"/>
    <w:rsid w:val="00AA5670"/>
    <w:rsid w:val="00AA5AED"/>
    <w:rsid w:val="00AA5B89"/>
    <w:rsid w:val="00AA5D30"/>
    <w:rsid w:val="00AA6070"/>
    <w:rsid w:val="00AA66EA"/>
    <w:rsid w:val="00AA6ABC"/>
    <w:rsid w:val="00AA6D41"/>
    <w:rsid w:val="00AA6DF4"/>
    <w:rsid w:val="00AA7008"/>
    <w:rsid w:val="00AA7553"/>
    <w:rsid w:val="00AA772C"/>
    <w:rsid w:val="00AA7824"/>
    <w:rsid w:val="00AA7D97"/>
    <w:rsid w:val="00AB0941"/>
    <w:rsid w:val="00AB0D9B"/>
    <w:rsid w:val="00AB162A"/>
    <w:rsid w:val="00AB174C"/>
    <w:rsid w:val="00AB18F5"/>
    <w:rsid w:val="00AB1E25"/>
    <w:rsid w:val="00AB25C2"/>
    <w:rsid w:val="00AB282A"/>
    <w:rsid w:val="00AB2A8F"/>
    <w:rsid w:val="00AB2D5E"/>
    <w:rsid w:val="00AB2E2D"/>
    <w:rsid w:val="00AB2F5F"/>
    <w:rsid w:val="00AB301F"/>
    <w:rsid w:val="00AB36CD"/>
    <w:rsid w:val="00AB3CED"/>
    <w:rsid w:val="00AB402D"/>
    <w:rsid w:val="00AB444C"/>
    <w:rsid w:val="00AB47F7"/>
    <w:rsid w:val="00AB4911"/>
    <w:rsid w:val="00AB4942"/>
    <w:rsid w:val="00AB5226"/>
    <w:rsid w:val="00AB581E"/>
    <w:rsid w:val="00AB61BB"/>
    <w:rsid w:val="00AB6310"/>
    <w:rsid w:val="00AB6578"/>
    <w:rsid w:val="00AB66E0"/>
    <w:rsid w:val="00AB6A36"/>
    <w:rsid w:val="00AB6FE8"/>
    <w:rsid w:val="00AB6FF5"/>
    <w:rsid w:val="00AB7274"/>
    <w:rsid w:val="00AB7CD4"/>
    <w:rsid w:val="00AB7D24"/>
    <w:rsid w:val="00AB7E2A"/>
    <w:rsid w:val="00AC023D"/>
    <w:rsid w:val="00AC07E8"/>
    <w:rsid w:val="00AC0B9B"/>
    <w:rsid w:val="00AC0C37"/>
    <w:rsid w:val="00AC1062"/>
    <w:rsid w:val="00AC181D"/>
    <w:rsid w:val="00AC1989"/>
    <w:rsid w:val="00AC1AB0"/>
    <w:rsid w:val="00AC23B1"/>
    <w:rsid w:val="00AC23B3"/>
    <w:rsid w:val="00AC24C2"/>
    <w:rsid w:val="00AC251B"/>
    <w:rsid w:val="00AC296E"/>
    <w:rsid w:val="00AC29C6"/>
    <w:rsid w:val="00AC2AFF"/>
    <w:rsid w:val="00AC2D65"/>
    <w:rsid w:val="00AC2F0D"/>
    <w:rsid w:val="00AC38B6"/>
    <w:rsid w:val="00AC39B4"/>
    <w:rsid w:val="00AC3C13"/>
    <w:rsid w:val="00AC3CF5"/>
    <w:rsid w:val="00AC3DB5"/>
    <w:rsid w:val="00AC401D"/>
    <w:rsid w:val="00AC4270"/>
    <w:rsid w:val="00AC4801"/>
    <w:rsid w:val="00AC4FDF"/>
    <w:rsid w:val="00AC5275"/>
    <w:rsid w:val="00AC581F"/>
    <w:rsid w:val="00AC5CE6"/>
    <w:rsid w:val="00AC6284"/>
    <w:rsid w:val="00AC6B60"/>
    <w:rsid w:val="00AC70D3"/>
    <w:rsid w:val="00AC7220"/>
    <w:rsid w:val="00AC7676"/>
    <w:rsid w:val="00AC76DF"/>
    <w:rsid w:val="00AC793A"/>
    <w:rsid w:val="00AC79CD"/>
    <w:rsid w:val="00AD04F7"/>
    <w:rsid w:val="00AD07A9"/>
    <w:rsid w:val="00AD08A2"/>
    <w:rsid w:val="00AD0D38"/>
    <w:rsid w:val="00AD14F5"/>
    <w:rsid w:val="00AD191B"/>
    <w:rsid w:val="00AD1D2B"/>
    <w:rsid w:val="00AD1FBB"/>
    <w:rsid w:val="00AD230D"/>
    <w:rsid w:val="00AD299D"/>
    <w:rsid w:val="00AD2C99"/>
    <w:rsid w:val="00AD33E9"/>
    <w:rsid w:val="00AD395F"/>
    <w:rsid w:val="00AD3D27"/>
    <w:rsid w:val="00AD4137"/>
    <w:rsid w:val="00AD466F"/>
    <w:rsid w:val="00AD4926"/>
    <w:rsid w:val="00AD4DAD"/>
    <w:rsid w:val="00AD50D1"/>
    <w:rsid w:val="00AD517A"/>
    <w:rsid w:val="00AD5724"/>
    <w:rsid w:val="00AD57A4"/>
    <w:rsid w:val="00AD70BD"/>
    <w:rsid w:val="00AD7B68"/>
    <w:rsid w:val="00AD7CFC"/>
    <w:rsid w:val="00AE02D3"/>
    <w:rsid w:val="00AE0971"/>
    <w:rsid w:val="00AE0A73"/>
    <w:rsid w:val="00AE0BB1"/>
    <w:rsid w:val="00AE0BF8"/>
    <w:rsid w:val="00AE0C95"/>
    <w:rsid w:val="00AE0D66"/>
    <w:rsid w:val="00AE2689"/>
    <w:rsid w:val="00AE3006"/>
    <w:rsid w:val="00AE343E"/>
    <w:rsid w:val="00AE3BDC"/>
    <w:rsid w:val="00AE4855"/>
    <w:rsid w:val="00AE52ED"/>
    <w:rsid w:val="00AE5AFF"/>
    <w:rsid w:val="00AE5E72"/>
    <w:rsid w:val="00AE6242"/>
    <w:rsid w:val="00AE6382"/>
    <w:rsid w:val="00AE63BA"/>
    <w:rsid w:val="00AE63E2"/>
    <w:rsid w:val="00AE687E"/>
    <w:rsid w:val="00AE69BB"/>
    <w:rsid w:val="00AE7475"/>
    <w:rsid w:val="00AE764B"/>
    <w:rsid w:val="00AE7A5B"/>
    <w:rsid w:val="00AE7E97"/>
    <w:rsid w:val="00AF0024"/>
    <w:rsid w:val="00AF034C"/>
    <w:rsid w:val="00AF051C"/>
    <w:rsid w:val="00AF0817"/>
    <w:rsid w:val="00AF0D5C"/>
    <w:rsid w:val="00AF1AAA"/>
    <w:rsid w:val="00AF1AE3"/>
    <w:rsid w:val="00AF1BDF"/>
    <w:rsid w:val="00AF1C2A"/>
    <w:rsid w:val="00AF1FCD"/>
    <w:rsid w:val="00AF2B37"/>
    <w:rsid w:val="00AF2BB1"/>
    <w:rsid w:val="00AF2F83"/>
    <w:rsid w:val="00AF341A"/>
    <w:rsid w:val="00AF373F"/>
    <w:rsid w:val="00AF374F"/>
    <w:rsid w:val="00AF3A9C"/>
    <w:rsid w:val="00AF4EA0"/>
    <w:rsid w:val="00AF5CC4"/>
    <w:rsid w:val="00AF5EE3"/>
    <w:rsid w:val="00AF60A6"/>
    <w:rsid w:val="00AF668F"/>
    <w:rsid w:val="00AF6CDF"/>
    <w:rsid w:val="00AF6E72"/>
    <w:rsid w:val="00AF785F"/>
    <w:rsid w:val="00AF7965"/>
    <w:rsid w:val="00AF7C86"/>
    <w:rsid w:val="00AF7F1F"/>
    <w:rsid w:val="00B01164"/>
    <w:rsid w:val="00B016D2"/>
    <w:rsid w:val="00B01AE8"/>
    <w:rsid w:val="00B01B4B"/>
    <w:rsid w:val="00B01D11"/>
    <w:rsid w:val="00B02177"/>
    <w:rsid w:val="00B02552"/>
    <w:rsid w:val="00B0270E"/>
    <w:rsid w:val="00B02CA5"/>
    <w:rsid w:val="00B02D1E"/>
    <w:rsid w:val="00B0405D"/>
    <w:rsid w:val="00B048A3"/>
    <w:rsid w:val="00B04E19"/>
    <w:rsid w:val="00B04FAE"/>
    <w:rsid w:val="00B0506A"/>
    <w:rsid w:val="00B053FB"/>
    <w:rsid w:val="00B05442"/>
    <w:rsid w:val="00B055BA"/>
    <w:rsid w:val="00B0610D"/>
    <w:rsid w:val="00B06242"/>
    <w:rsid w:val="00B063BA"/>
    <w:rsid w:val="00B06463"/>
    <w:rsid w:val="00B070CB"/>
    <w:rsid w:val="00B07212"/>
    <w:rsid w:val="00B073BC"/>
    <w:rsid w:val="00B0763F"/>
    <w:rsid w:val="00B077F0"/>
    <w:rsid w:val="00B078A3"/>
    <w:rsid w:val="00B07C90"/>
    <w:rsid w:val="00B07EB5"/>
    <w:rsid w:val="00B10E21"/>
    <w:rsid w:val="00B11798"/>
    <w:rsid w:val="00B11A90"/>
    <w:rsid w:val="00B11DE4"/>
    <w:rsid w:val="00B12056"/>
    <w:rsid w:val="00B12A94"/>
    <w:rsid w:val="00B13418"/>
    <w:rsid w:val="00B1349D"/>
    <w:rsid w:val="00B13588"/>
    <w:rsid w:val="00B1395A"/>
    <w:rsid w:val="00B14105"/>
    <w:rsid w:val="00B1460C"/>
    <w:rsid w:val="00B15547"/>
    <w:rsid w:val="00B156EF"/>
    <w:rsid w:val="00B15BB7"/>
    <w:rsid w:val="00B15CB8"/>
    <w:rsid w:val="00B161C9"/>
    <w:rsid w:val="00B16324"/>
    <w:rsid w:val="00B1647B"/>
    <w:rsid w:val="00B17122"/>
    <w:rsid w:val="00B20E2F"/>
    <w:rsid w:val="00B21490"/>
    <w:rsid w:val="00B214B3"/>
    <w:rsid w:val="00B2177D"/>
    <w:rsid w:val="00B21D05"/>
    <w:rsid w:val="00B22171"/>
    <w:rsid w:val="00B22B28"/>
    <w:rsid w:val="00B22FF9"/>
    <w:rsid w:val="00B23626"/>
    <w:rsid w:val="00B236CF"/>
    <w:rsid w:val="00B236FF"/>
    <w:rsid w:val="00B23E67"/>
    <w:rsid w:val="00B23FF1"/>
    <w:rsid w:val="00B24813"/>
    <w:rsid w:val="00B24DEB"/>
    <w:rsid w:val="00B25105"/>
    <w:rsid w:val="00B25116"/>
    <w:rsid w:val="00B25118"/>
    <w:rsid w:val="00B26AEC"/>
    <w:rsid w:val="00B26AFD"/>
    <w:rsid w:val="00B26FFB"/>
    <w:rsid w:val="00B27049"/>
    <w:rsid w:val="00B27146"/>
    <w:rsid w:val="00B276FA"/>
    <w:rsid w:val="00B2787F"/>
    <w:rsid w:val="00B27ABE"/>
    <w:rsid w:val="00B27FB7"/>
    <w:rsid w:val="00B30594"/>
    <w:rsid w:val="00B317C1"/>
    <w:rsid w:val="00B3191F"/>
    <w:rsid w:val="00B31D73"/>
    <w:rsid w:val="00B31D77"/>
    <w:rsid w:val="00B325DF"/>
    <w:rsid w:val="00B32BFB"/>
    <w:rsid w:val="00B32E81"/>
    <w:rsid w:val="00B3360C"/>
    <w:rsid w:val="00B339C3"/>
    <w:rsid w:val="00B33DE7"/>
    <w:rsid w:val="00B34345"/>
    <w:rsid w:val="00B343B8"/>
    <w:rsid w:val="00B34A69"/>
    <w:rsid w:val="00B34F32"/>
    <w:rsid w:val="00B350C2"/>
    <w:rsid w:val="00B3560D"/>
    <w:rsid w:val="00B3571D"/>
    <w:rsid w:val="00B3581D"/>
    <w:rsid w:val="00B35F7B"/>
    <w:rsid w:val="00B365E6"/>
    <w:rsid w:val="00B3670E"/>
    <w:rsid w:val="00B36EBE"/>
    <w:rsid w:val="00B371E4"/>
    <w:rsid w:val="00B37469"/>
    <w:rsid w:val="00B37D1F"/>
    <w:rsid w:val="00B40302"/>
    <w:rsid w:val="00B4061A"/>
    <w:rsid w:val="00B40DEF"/>
    <w:rsid w:val="00B40DF4"/>
    <w:rsid w:val="00B411C4"/>
    <w:rsid w:val="00B4139A"/>
    <w:rsid w:val="00B41985"/>
    <w:rsid w:val="00B41E8A"/>
    <w:rsid w:val="00B41EC6"/>
    <w:rsid w:val="00B42B30"/>
    <w:rsid w:val="00B42C51"/>
    <w:rsid w:val="00B42FB5"/>
    <w:rsid w:val="00B430DD"/>
    <w:rsid w:val="00B43622"/>
    <w:rsid w:val="00B44CA5"/>
    <w:rsid w:val="00B44CDE"/>
    <w:rsid w:val="00B44FC3"/>
    <w:rsid w:val="00B450D5"/>
    <w:rsid w:val="00B45749"/>
    <w:rsid w:val="00B45F5B"/>
    <w:rsid w:val="00B462D4"/>
    <w:rsid w:val="00B462ED"/>
    <w:rsid w:val="00B4634E"/>
    <w:rsid w:val="00B463E8"/>
    <w:rsid w:val="00B467C6"/>
    <w:rsid w:val="00B46C62"/>
    <w:rsid w:val="00B47C63"/>
    <w:rsid w:val="00B5044C"/>
    <w:rsid w:val="00B505F2"/>
    <w:rsid w:val="00B506E5"/>
    <w:rsid w:val="00B50D0A"/>
    <w:rsid w:val="00B50DD0"/>
    <w:rsid w:val="00B50FC5"/>
    <w:rsid w:val="00B511AA"/>
    <w:rsid w:val="00B51C11"/>
    <w:rsid w:val="00B52760"/>
    <w:rsid w:val="00B52941"/>
    <w:rsid w:val="00B5316F"/>
    <w:rsid w:val="00B53D44"/>
    <w:rsid w:val="00B53D66"/>
    <w:rsid w:val="00B54D1E"/>
    <w:rsid w:val="00B54EAE"/>
    <w:rsid w:val="00B5573A"/>
    <w:rsid w:val="00B55847"/>
    <w:rsid w:val="00B55D17"/>
    <w:rsid w:val="00B5675E"/>
    <w:rsid w:val="00B56C78"/>
    <w:rsid w:val="00B5750D"/>
    <w:rsid w:val="00B60D22"/>
    <w:rsid w:val="00B60D48"/>
    <w:rsid w:val="00B60FB8"/>
    <w:rsid w:val="00B611F7"/>
    <w:rsid w:val="00B612EE"/>
    <w:rsid w:val="00B61E85"/>
    <w:rsid w:val="00B620E7"/>
    <w:rsid w:val="00B622F5"/>
    <w:rsid w:val="00B62501"/>
    <w:rsid w:val="00B625CC"/>
    <w:rsid w:val="00B627AA"/>
    <w:rsid w:val="00B62A7E"/>
    <w:rsid w:val="00B630DE"/>
    <w:rsid w:val="00B63123"/>
    <w:rsid w:val="00B63735"/>
    <w:rsid w:val="00B63E8A"/>
    <w:rsid w:val="00B640B8"/>
    <w:rsid w:val="00B64433"/>
    <w:rsid w:val="00B64980"/>
    <w:rsid w:val="00B64E6B"/>
    <w:rsid w:val="00B650B7"/>
    <w:rsid w:val="00B660FC"/>
    <w:rsid w:val="00B663C1"/>
    <w:rsid w:val="00B66678"/>
    <w:rsid w:val="00B66E04"/>
    <w:rsid w:val="00B671E3"/>
    <w:rsid w:val="00B67EB5"/>
    <w:rsid w:val="00B70286"/>
    <w:rsid w:val="00B702DE"/>
    <w:rsid w:val="00B702FC"/>
    <w:rsid w:val="00B70D5D"/>
    <w:rsid w:val="00B711A3"/>
    <w:rsid w:val="00B71396"/>
    <w:rsid w:val="00B715C5"/>
    <w:rsid w:val="00B71606"/>
    <w:rsid w:val="00B71618"/>
    <w:rsid w:val="00B72EDA"/>
    <w:rsid w:val="00B72F7C"/>
    <w:rsid w:val="00B73C97"/>
    <w:rsid w:val="00B73D88"/>
    <w:rsid w:val="00B73DEE"/>
    <w:rsid w:val="00B755AA"/>
    <w:rsid w:val="00B757A2"/>
    <w:rsid w:val="00B757C0"/>
    <w:rsid w:val="00B759A3"/>
    <w:rsid w:val="00B762D0"/>
    <w:rsid w:val="00B76991"/>
    <w:rsid w:val="00B76A35"/>
    <w:rsid w:val="00B76C9B"/>
    <w:rsid w:val="00B77118"/>
    <w:rsid w:val="00B77638"/>
    <w:rsid w:val="00B80482"/>
    <w:rsid w:val="00B804EA"/>
    <w:rsid w:val="00B8084C"/>
    <w:rsid w:val="00B80A08"/>
    <w:rsid w:val="00B80D0C"/>
    <w:rsid w:val="00B80E86"/>
    <w:rsid w:val="00B8122C"/>
    <w:rsid w:val="00B817D8"/>
    <w:rsid w:val="00B81C47"/>
    <w:rsid w:val="00B8209B"/>
    <w:rsid w:val="00B823DB"/>
    <w:rsid w:val="00B8243E"/>
    <w:rsid w:val="00B82543"/>
    <w:rsid w:val="00B82751"/>
    <w:rsid w:val="00B829EB"/>
    <w:rsid w:val="00B82ED1"/>
    <w:rsid w:val="00B82F36"/>
    <w:rsid w:val="00B8325E"/>
    <w:rsid w:val="00B834FC"/>
    <w:rsid w:val="00B83767"/>
    <w:rsid w:val="00B837EF"/>
    <w:rsid w:val="00B83AC9"/>
    <w:rsid w:val="00B83CAD"/>
    <w:rsid w:val="00B84B41"/>
    <w:rsid w:val="00B85D51"/>
    <w:rsid w:val="00B85EA6"/>
    <w:rsid w:val="00B869A1"/>
    <w:rsid w:val="00B86C88"/>
    <w:rsid w:val="00B86CB9"/>
    <w:rsid w:val="00B86F95"/>
    <w:rsid w:val="00B871A3"/>
    <w:rsid w:val="00B872A6"/>
    <w:rsid w:val="00B87660"/>
    <w:rsid w:val="00B90240"/>
    <w:rsid w:val="00B90A2D"/>
    <w:rsid w:val="00B91618"/>
    <w:rsid w:val="00B91B93"/>
    <w:rsid w:val="00B926B4"/>
    <w:rsid w:val="00B927AF"/>
    <w:rsid w:val="00B9288F"/>
    <w:rsid w:val="00B929C5"/>
    <w:rsid w:val="00B92A22"/>
    <w:rsid w:val="00B93E3E"/>
    <w:rsid w:val="00B93E97"/>
    <w:rsid w:val="00B9518F"/>
    <w:rsid w:val="00B9524D"/>
    <w:rsid w:val="00B95F23"/>
    <w:rsid w:val="00B9600E"/>
    <w:rsid w:val="00B96712"/>
    <w:rsid w:val="00B96733"/>
    <w:rsid w:val="00B96E5C"/>
    <w:rsid w:val="00B96FFD"/>
    <w:rsid w:val="00B97686"/>
    <w:rsid w:val="00B97B51"/>
    <w:rsid w:val="00B97CA7"/>
    <w:rsid w:val="00B97D9B"/>
    <w:rsid w:val="00BA0119"/>
    <w:rsid w:val="00BA03DC"/>
    <w:rsid w:val="00BA0C06"/>
    <w:rsid w:val="00BA0DA5"/>
    <w:rsid w:val="00BA19D4"/>
    <w:rsid w:val="00BA1EBC"/>
    <w:rsid w:val="00BA387E"/>
    <w:rsid w:val="00BA3C30"/>
    <w:rsid w:val="00BA3E4F"/>
    <w:rsid w:val="00BA43A6"/>
    <w:rsid w:val="00BA5112"/>
    <w:rsid w:val="00BA5483"/>
    <w:rsid w:val="00BA5521"/>
    <w:rsid w:val="00BA5A12"/>
    <w:rsid w:val="00BA672A"/>
    <w:rsid w:val="00BA673E"/>
    <w:rsid w:val="00BA6A4C"/>
    <w:rsid w:val="00BA7135"/>
    <w:rsid w:val="00BA733D"/>
    <w:rsid w:val="00BB0571"/>
    <w:rsid w:val="00BB0C73"/>
    <w:rsid w:val="00BB18A6"/>
    <w:rsid w:val="00BB20A9"/>
    <w:rsid w:val="00BB26EF"/>
    <w:rsid w:val="00BB2815"/>
    <w:rsid w:val="00BB2B05"/>
    <w:rsid w:val="00BB3265"/>
    <w:rsid w:val="00BB37D3"/>
    <w:rsid w:val="00BB3BCA"/>
    <w:rsid w:val="00BB3CE7"/>
    <w:rsid w:val="00BB4171"/>
    <w:rsid w:val="00BB41F9"/>
    <w:rsid w:val="00BB538A"/>
    <w:rsid w:val="00BB56D5"/>
    <w:rsid w:val="00BB60C9"/>
    <w:rsid w:val="00BB62C8"/>
    <w:rsid w:val="00BB680B"/>
    <w:rsid w:val="00BB6948"/>
    <w:rsid w:val="00BB6D73"/>
    <w:rsid w:val="00BB7305"/>
    <w:rsid w:val="00BB744B"/>
    <w:rsid w:val="00BB7562"/>
    <w:rsid w:val="00BB7ACD"/>
    <w:rsid w:val="00BB7F08"/>
    <w:rsid w:val="00BC00CF"/>
    <w:rsid w:val="00BC0261"/>
    <w:rsid w:val="00BC0A9B"/>
    <w:rsid w:val="00BC1292"/>
    <w:rsid w:val="00BC154C"/>
    <w:rsid w:val="00BC17D2"/>
    <w:rsid w:val="00BC29DB"/>
    <w:rsid w:val="00BC2A2E"/>
    <w:rsid w:val="00BC2AE9"/>
    <w:rsid w:val="00BC2B90"/>
    <w:rsid w:val="00BC2CD1"/>
    <w:rsid w:val="00BC2EFB"/>
    <w:rsid w:val="00BC40DC"/>
    <w:rsid w:val="00BC4A38"/>
    <w:rsid w:val="00BC4C7B"/>
    <w:rsid w:val="00BC561C"/>
    <w:rsid w:val="00BC594D"/>
    <w:rsid w:val="00BC606C"/>
    <w:rsid w:val="00BC7221"/>
    <w:rsid w:val="00BD09D7"/>
    <w:rsid w:val="00BD0AB2"/>
    <w:rsid w:val="00BD14AD"/>
    <w:rsid w:val="00BD2321"/>
    <w:rsid w:val="00BD2B00"/>
    <w:rsid w:val="00BD2EA3"/>
    <w:rsid w:val="00BD3200"/>
    <w:rsid w:val="00BD3A18"/>
    <w:rsid w:val="00BD3CD9"/>
    <w:rsid w:val="00BD3D40"/>
    <w:rsid w:val="00BD44D4"/>
    <w:rsid w:val="00BD517D"/>
    <w:rsid w:val="00BD5F4D"/>
    <w:rsid w:val="00BD61C5"/>
    <w:rsid w:val="00BD7955"/>
    <w:rsid w:val="00BD79F8"/>
    <w:rsid w:val="00BD7D26"/>
    <w:rsid w:val="00BD7D4D"/>
    <w:rsid w:val="00BD7E5F"/>
    <w:rsid w:val="00BE0150"/>
    <w:rsid w:val="00BE060F"/>
    <w:rsid w:val="00BE0E55"/>
    <w:rsid w:val="00BE105C"/>
    <w:rsid w:val="00BE1062"/>
    <w:rsid w:val="00BE16AF"/>
    <w:rsid w:val="00BE1D11"/>
    <w:rsid w:val="00BE225C"/>
    <w:rsid w:val="00BE291D"/>
    <w:rsid w:val="00BE31C2"/>
    <w:rsid w:val="00BE3445"/>
    <w:rsid w:val="00BE3E2B"/>
    <w:rsid w:val="00BE3EEF"/>
    <w:rsid w:val="00BE4617"/>
    <w:rsid w:val="00BE4EF4"/>
    <w:rsid w:val="00BE5337"/>
    <w:rsid w:val="00BE5576"/>
    <w:rsid w:val="00BE5BAF"/>
    <w:rsid w:val="00BE5BD0"/>
    <w:rsid w:val="00BE609B"/>
    <w:rsid w:val="00BE64F5"/>
    <w:rsid w:val="00BE6656"/>
    <w:rsid w:val="00BE6A18"/>
    <w:rsid w:val="00BE7548"/>
    <w:rsid w:val="00BE77CB"/>
    <w:rsid w:val="00BF00EE"/>
    <w:rsid w:val="00BF05CD"/>
    <w:rsid w:val="00BF0792"/>
    <w:rsid w:val="00BF0841"/>
    <w:rsid w:val="00BF15EB"/>
    <w:rsid w:val="00BF17CB"/>
    <w:rsid w:val="00BF1910"/>
    <w:rsid w:val="00BF1BC4"/>
    <w:rsid w:val="00BF20C2"/>
    <w:rsid w:val="00BF2B96"/>
    <w:rsid w:val="00BF2DC5"/>
    <w:rsid w:val="00BF31C0"/>
    <w:rsid w:val="00BF3335"/>
    <w:rsid w:val="00BF4A77"/>
    <w:rsid w:val="00BF5049"/>
    <w:rsid w:val="00BF5AB6"/>
    <w:rsid w:val="00BF5BE4"/>
    <w:rsid w:val="00BF5C21"/>
    <w:rsid w:val="00BF5DD6"/>
    <w:rsid w:val="00BF5F66"/>
    <w:rsid w:val="00BF5FD5"/>
    <w:rsid w:val="00BF616C"/>
    <w:rsid w:val="00BF632E"/>
    <w:rsid w:val="00BF633B"/>
    <w:rsid w:val="00BF64A2"/>
    <w:rsid w:val="00BF6A71"/>
    <w:rsid w:val="00BF7639"/>
    <w:rsid w:val="00C00193"/>
    <w:rsid w:val="00C0031A"/>
    <w:rsid w:val="00C003BF"/>
    <w:rsid w:val="00C007CC"/>
    <w:rsid w:val="00C00A1E"/>
    <w:rsid w:val="00C011BC"/>
    <w:rsid w:val="00C01947"/>
    <w:rsid w:val="00C01C74"/>
    <w:rsid w:val="00C01E58"/>
    <w:rsid w:val="00C021E8"/>
    <w:rsid w:val="00C023EA"/>
    <w:rsid w:val="00C023F9"/>
    <w:rsid w:val="00C0274D"/>
    <w:rsid w:val="00C027EB"/>
    <w:rsid w:val="00C028A8"/>
    <w:rsid w:val="00C0293C"/>
    <w:rsid w:val="00C02AD2"/>
    <w:rsid w:val="00C02C78"/>
    <w:rsid w:val="00C02D0E"/>
    <w:rsid w:val="00C02DFF"/>
    <w:rsid w:val="00C03032"/>
    <w:rsid w:val="00C037A2"/>
    <w:rsid w:val="00C03807"/>
    <w:rsid w:val="00C046C1"/>
    <w:rsid w:val="00C047AA"/>
    <w:rsid w:val="00C0491E"/>
    <w:rsid w:val="00C05B12"/>
    <w:rsid w:val="00C05E91"/>
    <w:rsid w:val="00C06076"/>
    <w:rsid w:val="00C06229"/>
    <w:rsid w:val="00C07039"/>
    <w:rsid w:val="00C0709A"/>
    <w:rsid w:val="00C070F5"/>
    <w:rsid w:val="00C074C3"/>
    <w:rsid w:val="00C07CF5"/>
    <w:rsid w:val="00C07D78"/>
    <w:rsid w:val="00C07EBA"/>
    <w:rsid w:val="00C07F2E"/>
    <w:rsid w:val="00C10483"/>
    <w:rsid w:val="00C10897"/>
    <w:rsid w:val="00C11284"/>
    <w:rsid w:val="00C11B7C"/>
    <w:rsid w:val="00C11EAD"/>
    <w:rsid w:val="00C11FF3"/>
    <w:rsid w:val="00C12298"/>
    <w:rsid w:val="00C123A0"/>
    <w:rsid w:val="00C129AA"/>
    <w:rsid w:val="00C12AAA"/>
    <w:rsid w:val="00C1310F"/>
    <w:rsid w:val="00C139C1"/>
    <w:rsid w:val="00C14F74"/>
    <w:rsid w:val="00C15101"/>
    <w:rsid w:val="00C153E6"/>
    <w:rsid w:val="00C15491"/>
    <w:rsid w:val="00C154FC"/>
    <w:rsid w:val="00C16456"/>
    <w:rsid w:val="00C16B0F"/>
    <w:rsid w:val="00C177AF"/>
    <w:rsid w:val="00C177D4"/>
    <w:rsid w:val="00C179BD"/>
    <w:rsid w:val="00C17FFC"/>
    <w:rsid w:val="00C2014E"/>
    <w:rsid w:val="00C20B98"/>
    <w:rsid w:val="00C20D55"/>
    <w:rsid w:val="00C21A20"/>
    <w:rsid w:val="00C21BDB"/>
    <w:rsid w:val="00C22025"/>
    <w:rsid w:val="00C22507"/>
    <w:rsid w:val="00C2259E"/>
    <w:rsid w:val="00C2285A"/>
    <w:rsid w:val="00C23274"/>
    <w:rsid w:val="00C237DA"/>
    <w:rsid w:val="00C23B10"/>
    <w:rsid w:val="00C23DE3"/>
    <w:rsid w:val="00C23F8E"/>
    <w:rsid w:val="00C2515F"/>
    <w:rsid w:val="00C25A0F"/>
    <w:rsid w:val="00C25AF5"/>
    <w:rsid w:val="00C25BCF"/>
    <w:rsid w:val="00C26154"/>
    <w:rsid w:val="00C26870"/>
    <w:rsid w:val="00C2711F"/>
    <w:rsid w:val="00C27195"/>
    <w:rsid w:val="00C27D07"/>
    <w:rsid w:val="00C27D69"/>
    <w:rsid w:val="00C30033"/>
    <w:rsid w:val="00C300E8"/>
    <w:rsid w:val="00C3047E"/>
    <w:rsid w:val="00C306FA"/>
    <w:rsid w:val="00C30BF9"/>
    <w:rsid w:val="00C31053"/>
    <w:rsid w:val="00C318AF"/>
    <w:rsid w:val="00C319EE"/>
    <w:rsid w:val="00C31B8C"/>
    <w:rsid w:val="00C323B6"/>
    <w:rsid w:val="00C329C3"/>
    <w:rsid w:val="00C32A1E"/>
    <w:rsid w:val="00C32CD0"/>
    <w:rsid w:val="00C33209"/>
    <w:rsid w:val="00C3336C"/>
    <w:rsid w:val="00C3349B"/>
    <w:rsid w:val="00C3379F"/>
    <w:rsid w:val="00C33925"/>
    <w:rsid w:val="00C33995"/>
    <w:rsid w:val="00C33B47"/>
    <w:rsid w:val="00C340A1"/>
    <w:rsid w:val="00C34132"/>
    <w:rsid w:val="00C3526D"/>
    <w:rsid w:val="00C3534E"/>
    <w:rsid w:val="00C35485"/>
    <w:rsid w:val="00C35CCA"/>
    <w:rsid w:val="00C35F49"/>
    <w:rsid w:val="00C36333"/>
    <w:rsid w:val="00C363AA"/>
    <w:rsid w:val="00C3678C"/>
    <w:rsid w:val="00C36BCE"/>
    <w:rsid w:val="00C36ECF"/>
    <w:rsid w:val="00C403FA"/>
    <w:rsid w:val="00C40885"/>
    <w:rsid w:val="00C40CDF"/>
    <w:rsid w:val="00C418C6"/>
    <w:rsid w:val="00C418D2"/>
    <w:rsid w:val="00C41A1A"/>
    <w:rsid w:val="00C41A8D"/>
    <w:rsid w:val="00C41E7F"/>
    <w:rsid w:val="00C4246B"/>
    <w:rsid w:val="00C424DF"/>
    <w:rsid w:val="00C425C5"/>
    <w:rsid w:val="00C4275F"/>
    <w:rsid w:val="00C42A44"/>
    <w:rsid w:val="00C42F23"/>
    <w:rsid w:val="00C432DB"/>
    <w:rsid w:val="00C4366D"/>
    <w:rsid w:val="00C437B1"/>
    <w:rsid w:val="00C43E95"/>
    <w:rsid w:val="00C4451A"/>
    <w:rsid w:val="00C4470E"/>
    <w:rsid w:val="00C44CBF"/>
    <w:rsid w:val="00C4508C"/>
    <w:rsid w:val="00C453C8"/>
    <w:rsid w:val="00C453D4"/>
    <w:rsid w:val="00C45A5F"/>
    <w:rsid w:val="00C46026"/>
    <w:rsid w:val="00C46765"/>
    <w:rsid w:val="00C46B3C"/>
    <w:rsid w:val="00C46F5D"/>
    <w:rsid w:val="00C473AB"/>
    <w:rsid w:val="00C47864"/>
    <w:rsid w:val="00C4797A"/>
    <w:rsid w:val="00C47C66"/>
    <w:rsid w:val="00C47F53"/>
    <w:rsid w:val="00C5022A"/>
    <w:rsid w:val="00C502DB"/>
    <w:rsid w:val="00C50300"/>
    <w:rsid w:val="00C50922"/>
    <w:rsid w:val="00C50953"/>
    <w:rsid w:val="00C50982"/>
    <w:rsid w:val="00C50D2C"/>
    <w:rsid w:val="00C50DC9"/>
    <w:rsid w:val="00C50E1D"/>
    <w:rsid w:val="00C51321"/>
    <w:rsid w:val="00C51449"/>
    <w:rsid w:val="00C515D3"/>
    <w:rsid w:val="00C51E66"/>
    <w:rsid w:val="00C52035"/>
    <w:rsid w:val="00C5235E"/>
    <w:rsid w:val="00C531EF"/>
    <w:rsid w:val="00C53288"/>
    <w:rsid w:val="00C5331F"/>
    <w:rsid w:val="00C535F9"/>
    <w:rsid w:val="00C53874"/>
    <w:rsid w:val="00C548FA"/>
    <w:rsid w:val="00C55D85"/>
    <w:rsid w:val="00C56873"/>
    <w:rsid w:val="00C573C4"/>
    <w:rsid w:val="00C574FB"/>
    <w:rsid w:val="00C57EE2"/>
    <w:rsid w:val="00C60438"/>
    <w:rsid w:val="00C607DE"/>
    <w:rsid w:val="00C60891"/>
    <w:rsid w:val="00C60BD4"/>
    <w:rsid w:val="00C60EF7"/>
    <w:rsid w:val="00C61294"/>
    <w:rsid w:val="00C6135C"/>
    <w:rsid w:val="00C61428"/>
    <w:rsid w:val="00C615D0"/>
    <w:rsid w:val="00C61DCE"/>
    <w:rsid w:val="00C6202A"/>
    <w:rsid w:val="00C62455"/>
    <w:rsid w:val="00C62BC2"/>
    <w:rsid w:val="00C62FD7"/>
    <w:rsid w:val="00C63255"/>
    <w:rsid w:val="00C632B6"/>
    <w:rsid w:val="00C6398D"/>
    <w:rsid w:val="00C63BE5"/>
    <w:rsid w:val="00C6401A"/>
    <w:rsid w:val="00C6423F"/>
    <w:rsid w:val="00C6443D"/>
    <w:rsid w:val="00C64560"/>
    <w:rsid w:val="00C64697"/>
    <w:rsid w:val="00C651F9"/>
    <w:rsid w:val="00C65C9C"/>
    <w:rsid w:val="00C6672B"/>
    <w:rsid w:val="00C66A10"/>
    <w:rsid w:val="00C6743A"/>
    <w:rsid w:val="00C67690"/>
    <w:rsid w:val="00C70124"/>
    <w:rsid w:val="00C7068B"/>
    <w:rsid w:val="00C7080E"/>
    <w:rsid w:val="00C7081E"/>
    <w:rsid w:val="00C70C15"/>
    <w:rsid w:val="00C70D7B"/>
    <w:rsid w:val="00C71173"/>
    <w:rsid w:val="00C71539"/>
    <w:rsid w:val="00C71ACB"/>
    <w:rsid w:val="00C72066"/>
    <w:rsid w:val="00C72197"/>
    <w:rsid w:val="00C721F5"/>
    <w:rsid w:val="00C72226"/>
    <w:rsid w:val="00C72374"/>
    <w:rsid w:val="00C727D7"/>
    <w:rsid w:val="00C72E24"/>
    <w:rsid w:val="00C73178"/>
    <w:rsid w:val="00C73376"/>
    <w:rsid w:val="00C73769"/>
    <w:rsid w:val="00C74D3B"/>
    <w:rsid w:val="00C76015"/>
    <w:rsid w:val="00C7783E"/>
    <w:rsid w:val="00C7797D"/>
    <w:rsid w:val="00C77A61"/>
    <w:rsid w:val="00C80149"/>
    <w:rsid w:val="00C8067E"/>
    <w:rsid w:val="00C80F2B"/>
    <w:rsid w:val="00C80F45"/>
    <w:rsid w:val="00C812E4"/>
    <w:rsid w:val="00C815F9"/>
    <w:rsid w:val="00C81976"/>
    <w:rsid w:val="00C819F0"/>
    <w:rsid w:val="00C8228D"/>
    <w:rsid w:val="00C82362"/>
    <w:rsid w:val="00C823EE"/>
    <w:rsid w:val="00C8316A"/>
    <w:rsid w:val="00C83242"/>
    <w:rsid w:val="00C832E0"/>
    <w:rsid w:val="00C8461F"/>
    <w:rsid w:val="00C84C66"/>
    <w:rsid w:val="00C84D5E"/>
    <w:rsid w:val="00C850AF"/>
    <w:rsid w:val="00C853E8"/>
    <w:rsid w:val="00C85F00"/>
    <w:rsid w:val="00C86766"/>
    <w:rsid w:val="00C867A2"/>
    <w:rsid w:val="00C86BA8"/>
    <w:rsid w:val="00C87550"/>
    <w:rsid w:val="00C87619"/>
    <w:rsid w:val="00C87BDE"/>
    <w:rsid w:val="00C90530"/>
    <w:rsid w:val="00C90C0D"/>
    <w:rsid w:val="00C90F39"/>
    <w:rsid w:val="00C910D6"/>
    <w:rsid w:val="00C9146C"/>
    <w:rsid w:val="00C9188A"/>
    <w:rsid w:val="00C919C5"/>
    <w:rsid w:val="00C91F8C"/>
    <w:rsid w:val="00C921C9"/>
    <w:rsid w:val="00C927F6"/>
    <w:rsid w:val="00C928B3"/>
    <w:rsid w:val="00C92A7E"/>
    <w:rsid w:val="00C92E53"/>
    <w:rsid w:val="00C92F98"/>
    <w:rsid w:val="00C93F5A"/>
    <w:rsid w:val="00C941A6"/>
    <w:rsid w:val="00C94D13"/>
    <w:rsid w:val="00C94FBB"/>
    <w:rsid w:val="00C95051"/>
    <w:rsid w:val="00C953E8"/>
    <w:rsid w:val="00C95631"/>
    <w:rsid w:val="00C95E3C"/>
    <w:rsid w:val="00C95F65"/>
    <w:rsid w:val="00C95F8C"/>
    <w:rsid w:val="00C9603F"/>
    <w:rsid w:val="00C96899"/>
    <w:rsid w:val="00C96AC5"/>
    <w:rsid w:val="00C96FE8"/>
    <w:rsid w:val="00C97039"/>
    <w:rsid w:val="00C970BE"/>
    <w:rsid w:val="00C972C7"/>
    <w:rsid w:val="00C97469"/>
    <w:rsid w:val="00C974F4"/>
    <w:rsid w:val="00C97861"/>
    <w:rsid w:val="00C97B90"/>
    <w:rsid w:val="00CA00D6"/>
    <w:rsid w:val="00CA06A1"/>
    <w:rsid w:val="00CA07C8"/>
    <w:rsid w:val="00CA0DD4"/>
    <w:rsid w:val="00CA1056"/>
    <w:rsid w:val="00CA16E7"/>
    <w:rsid w:val="00CA1C00"/>
    <w:rsid w:val="00CA33A3"/>
    <w:rsid w:val="00CA35B8"/>
    <w:rsid w:val="00CA3771"/>
    <w:rsid w:val="00CA3A26"/>
    <w:rsid w:val="00CA3DBD"/>
    <w:rsid w:val="00CA5136"/>
    <w:rsid w:val="00CA520B"/>
    <w:rsid w:val="00CA5BB7"/>
    <w:rsid w:val="00CA5C9D"/>
    <w:rsid w:val="00CA5E0B"/>
    <w:rsid w:val="00CA5FAD"/>
    <w:rsid w:val="00CA5FEA"/>
    <w:rsid w:val="00CA68FF"/>
    <w:rsid w:val="00CA7245"/>
    <w:rsid w:val="00CA7734"/>
    <w:rsid w:val="00CA7BBC"/>
    <w:rsid w:val="00CA7BDB"/>
    <w:rsid w:val="00CB11DC"/>
    <w:rsid w:val="00CB1A1E"/>
    <w:rsid w:val="00CB1CF2"/>
    <w:rsid w:val="00CB20E9"/>
    <w:rsid w:val="00CB27ED"/>
    <w:rsid w:val="00CB27EF"/>
    <w:rsid w:val="00CB30AF"/>
    <w:rsid w:val="00CB32E9"/>
    <w:rsid w:val="00CB3686"/>
    <w:rsid w:val="00CB41C0"/>
    <w:rsid w:val="00CB43D7"/>
    <w:rsid w:val="00CB4413"/>
    <w:rsid w:val="00CB46E3"/>
    <w:rsid w:val="00CB47A4"/>
    <w:rsid w:val="00CB4E42"/>
    <w:rsid w:val="00CB508E"/>
    <w:rsid w:val="00CB5490"/>
    <w:rsid w:val="00CB58F2"/>
    <w:rsid w:val="00CB5C63"/>
    <w:rsid w:val="00CB62B0"/>
    <w:rsid w:val="00CB6A03"/>
    <w:rsid w:val="00CB6A8A"/>
    <w:rsid w:val="00CB6B88"/>
    <w:rsid w:val="00CB7372"/>
    <w:rsid w:val="00CB7557"/>
    <w:rsid w:val="00CB789F"/>
    <w:rsid w:val="00CB7A1C"/>
    <w:rsid w:val="00CB7C81"/>
    <w:rsid w:val="00CC03DD"/>
    <w:rsid w:val="00CC040E"/>
    <w:rsid w:val="00CC14C5"/>
    <w:rsid w:val="00CC18B3"/>
    <w:rsid w:val="00CC1CE3"/>
    <w:rsid w:val="00CC1DCC"/>
    <w:rsid w:val="00CC1DE1"/>
    <w:rsid w:val="00CC1FB2"/>
    <w:rsid w:val="00CC2282"/>
    <w:rsid w:val="00CC26A6"/>
    <w:rsid w:val="00CC2C0C"/>
    <w:rsid w:val="00CC3E3A"/>
    <w:rsid w:val="00CC3FEF"/>
    <w:rsid w:val="00CC4292"/>
    <w:rsid w:val="00CC475B"/>
    <w:rsid w:val="00CC49CB"/>
    <w:rsid w:val="00CC4E53"/>
    <w:rsid w:val="00CC6A94"/>
    <w:rsid w:val="00CC6C61"/>
    <w:rsid w:val="00CC7576"/>
    <w:rsid w:val="00CC7D77"/>
    <w:rsid w:val="00CD0444"/>
    <w:rsid w:val="00CD063F"/>
    <w:rsid w:val="00CD106D"/>
    <w:rsid w:val="00CD111D"/>
    <w:rsid w:val="00CD14FF"/>
    <w:rsid w:val="00CD1941"/>
    <w:rsid w:val="00CD2144"/>
    <w:rsid w:val="00CD27FC"/>
    <w:rsid w:val="00CD2824"/>
    <w:rsid w:val="00CD2C9C"/>
    <w:rsid w:val="00CD3620"/>
    <w:rsid w:val="00CD4086"/>
    <w:rsid w:val="00CD48FC"/>
    <w:rsid w:val="00CD4927"/>
    <w:rsid w:val="00CD5077"/>
    <w:rsid w:val="00CD5087"/>
    <w:rsid w:val="00CD5215"/>
    <w:rsid w:val="00CD5454"/>
    <w:rsid w:val="00CD5A0B"/>
    <w:rsid w:val="00CD6295"/>
    <w:rsid w:val="00CD66DF"/>
    <w:rsid w:val="00CD6C5A"/>
    <w:rsid w:val="00CD6FF9"/>
    <w:rsid w:val="00CD7122"/>
    <w:rsid w:val="00CD71D1"/>
    <w:rsid w:val="00CD7A8D"/>
    <w:rsid w:val="00CE025C"/>
    <w:rsid w:val="00CE0935"/>
    <w:rsid w:val="00CE0E09"/>
    <w:rsid w:val="00CE1393"/>
    <w:rsid w:val="00CE1AD9"/>
    <w:rsid w:val="00CE1B70"/>
    <w:rsid w:val="00CE1E3F"/>
    <w:rsid w:val="00CE222A"/>
    <w:rsid w:val="00CE2780"/>
    <w:rsid w:val="00CE29EF"/>
    <w:rsid w:val="00CE2D5A"/>
    <w:rsid w:val="00CE30FE"/>
    <w:rsid w:val="00CE3231"/>
    <w:rsid w:val="00CE3E0E"/>
    <w:rsid w:val="00CE458F"/>
    <w:rsid w:val="00CE498F"/>
    <w:rsid w:val="00CE4BC6"/>
    <w:rsid w:val="00CE5799"/>
    <w:rsid w:val="00CE5872"/>
    <w:rsid w:val="00CE69C3"/>
    <w:rsid w:val="00CE6D61"/>
    <w:rsid w:val="00CE7052"/>
    <w:rsid w:val="00CE7AE5"/>
    <w:rsid w:val="00CF0296"/>
    <w:rsid w:val="00CF0383"/>
    <w:rsid w:val="00CF0C84"/>
    <w:rsid w:val="00CF11A5"/>
    <w:rsid w:val="00CF2002"/>
    <w:rsid w:val="00CF20FE"/>
    <w:rsid w:val="00CF270A"/>
    <w:rsid w:val="00CF346D"/>
    <w:rsid w:val="00CF3AED"/>
    <w:rsid w:val="00CF3DF5"/>
    <w:rsid w:val="00CF3E19"/>
    <w:rsid w:val="00CF3E1D"/>
    <w:rsid w:val="00CF4167"/>
    <w:rsid w:val="00CF46D8"/>
    <w:rsid w:val="00CF4715"/>
    <w:rsid w:val="00CF483E"/>
    <w:rsid w:val="00CF4D05"/>
    <w:rsid w:val="00CF55E0"/>
    <w:rsid w:val="00CF60AC"/>
    <w:rsid w:val="00CF6690"/>
    <w:rsid w:val="00CF6926"/>
    <w:rsid w:val="00CF69E3"/>
    <w:rsid w:val="00CF6F2A"/>
    <w:rsid w:val="00CF7990"/>
    <w:rsid w:val="00CF7F57"/>
    <w:rsid w:val="00D0006C"/>
    <w:rsid w:val="00D005DA"/>
    <w:rsid w:val="00D0084B"/>
    <w:rsid w:val="00D00899"/>
    <w:rsid w:val="00D010A4"/>
    <w:rsid w:val="00D01450"/>
    <w:rsid w:val="00D01762"/>
    <w:rsid w:val="00D018B2"/>
    <w:rsid w:val="00D01AFD"/>
    <w:rsid w:val="00D01E9E"/>
    <w:rsid w:val="00D01EF2"/>
    <w:rsid w:val="00D03458"/>
    <w:rsid w:val="00D034D4"/>
    <w:rsid w:val="00D03B3A"/>
    <w:rsid w:val="00D03C47"/>
    <w:rsid w:val="00D041BC"/>
    <w:rsid w:val="00D0450D"/>
    <w:rsid w:val="00D0455E"/>
    <w:rsid w:val="00D0457A"/>
    <w:rsid w:val="00D05AEA"/>
    <w:rsid w:val="00D05FB4"/>
    <w:rsid w:val="00D06BEB"/>
    <w:rsid w:val="00D06E66"/>
    <w:rsid w:val="00D104B2"/>
    <w:rsid w:val="00D108F9"/>
    <w:rsid w:val="00D10F40"/>
    <w:rsid w:val="00D110C4"/>
    <w:rsid w:val="00D11F62"/>
    <w:rsid w:val="00D1241D"/>
    <w:rsid w:val="00D1282B"/>
    <w:rsid w:val="00D12890"/>
    <w:rsid w:val="00D12B69"/>
    <w:rsid w:val="00D12FF2"/>
    <w:rsid w:val="00D13048"/>
    <w:rsid w:val="00D13A7A"/>
    <w:rsid w:val="00D14734"/>
    <w:rsid w:val="00D14FFD"/>
    <w:rsid w:val="00D15543"/>
    <w:rsid w:val="00D1591E"/>
    <w:rsid w:val="00D15947"/>
    <w:rsid w:val="00D15CC0"/>
    <w:rsid w:val="00D15D0B"/>
    <w:rsid w:val="00D1664D"/>
    <w:rsid w:val="00D16758"/>
    <w:rsid w:val="00D16871"/>
    <w:rsid w:val="00D16F61"/>
    <w:rsid w:val="00D170AD"/>
    <w:rsid w:val="00D17578"/>
    <w:rsid w:val="00D176DE"/>
    <w:rsid w:val="00D17C94"/>
    <w:rsid w:val="00D17F14"/>
    <w:rsid w:val="00D20031"/>
    <w:rsid w:val="00D2019F"/>
    <w:rsid w:val="00D204DF"/>
    <w:rsid w:val="00D209E5"/>
    <w:rsid w:val="00D20DC0"/>
    <w:rsid w:val="00D21094"/>
    <w:rsid w:val="00D21274"/>
    <w:rsid w:val="00D21638"/>
    <w:rsid w:val="00D21FC9"/>
    <w:rsid w:val="00D21FF2"/>
    <w:rsid w:val="00D23EA2"/>
    <w:rsid w:val="00D2422D"/>
    <w:rsid w:val="00D242B4"/>
    <w:rsid w:val="00D248AB"/>
    <w:rsid w:val="00D24B8F"/>
    <w:rsid w:val="00D25603"/>
    <w:rsid w:val="00D2588F"/>
    <w:rsid w:val="00D2589A"/>
    <w:rsid w:val="00D25DE3"/>
    <w:rsid w:val="00D25F5A"/>
    <w:rsid w:val="00D26307"/>
    <w:rsid w:val="00D26740"/>
    <w:rsid w:val="00D27568"/>
    <w:rsid w:val="00D279DC"/>
    <w:rsid w:val="00D30223"/>
    <w:rsid w:val="00D30B55"/>
    <w:rsid w:val="00D30D73"/>
    <w:rsid w:val="00D30DBD"/>
    <w:rsid w:val="00D311DC"/>
    <w:rsid w:val="00D31488"/>
    <w:rsid w:val="00D314C3"/>
    <w:rsid w:val="00D31A29"/>
    <w:rsid w:val="00D31C8E"/>
    <w:rsid w:val="00D31DFC"/>
    <w:rsid w:val="00D321BA"/>
    <w:rsid w:val="00D323F0"/>
    <w:rsid w:val="00D33078"/>
    <w:rsid w:val="00D330A9"/>
    <w:rsid w:val="00D334B2"/>
    <w:rsid w:val="00D33C30"/>
    <w:rsid w:val="00D33EFA"/>
    <w:rsid w:val="00D3432D"/>
    <w:rsid w:val="00D34E40"/>
    <w:rsid w:val="00D34FFC"/>
    <w:rsid w:val="00D35775"/>
    <w:rsid w:val="00D3630F"/>
    <w:rsid w:val="00D37356"/>
    <w:rsid w:val="00D376D5"/>
    <w:rsid w:val="00D3776D"/>
    <w:rsid w:val="00D40015"/>
    <w:rsid w:val="00D40915"/>
    <w:rsid w:val="00D4136E"/>
    <w:rsid w:val="00D422BE"/>
    <w:rsid w:val="00D42985"/>
    <w:rsid w:val="00D42A50"/>
    <w:rsid w:val="00D43031"/>
    <w:rsid w:val="00D43B3B"/>
    <w:rsid w:val="00D4424F"/>
    <w:rsid w:val="00D44286"/>
    <w:rsid w:val="00D44780"/>
    <w:rsid w:val="00D44933"/>
    <w:rsid w:val="00D44BF3"/>
    <w:rsid w:val="00D44FE3"/>
    <w:rsid w:val="00D451B5"/>
    <w:rsid w:val="00D45634"/>
    <w:rsid w:val="00D45DEE"/>
    <w:rsid w:val="00D45EEE"/>
    <w:rsid w:val="00D45F13"/>
    <w:rsid w:val="00D4603E"/>
    <w:rsid w:val="00D46477"/>
    <w:rsid w:val="00D46599"/>
    <w:rsid w:val="00D46706"/>
    <w:rsid w:val="00D46C19"/>
    <w:rsid w:val="00D47077"/>
    <w:rsid w:val="00D47289"/>
    <w:rsid w:val="00D4756B"/>
    <w:rsid w:val="00D479EA"/>
    <w:rsid w:val="00D501CC"/>
    <w:rsid w:val="00D504CF"/>
    <w:rsid w:val="00D5076B"/>
    <w:rsid w:val="00D50A30"/>
    <w:rsid w:val="00D51752"/>
    <w:rsid w:val="00D51AFE"/>
    <w:rsid w:val="00D51E57"/>
    <w:rsid w:val="00D522F9"/>
    <w:rsid w:val="00D52951"/>
    <w:rsid w:val="00D529B9"/>
    <w:rsid w:val="00D52DBA"/>
    <w:rsid w:val="00D533DF"/>
    <w:rsid w:val="00D53894"/>
    <w:rsid w:val="00D53968"/>
    <w:rsid w:val="00D53A49"/>
    <w:rsid w:val="00D53B24"/>
    <w:rsid w:val="00D53B72"/>
    <w:rsid w:val="00D54216"/>
    <w:rsid w:val="00D54681"/>
    <w:rsid w:val="00D54F79"/>
    <w:rsid w:val="00D558CC"/>
    <w:rsid w:val="00D55C98"/>
    <w:rsid w:val="00D567CD"/>
    <w:rsid w:val="00D5686A"/>
    <w:rsid w:val="00D579AD"/>
    <w:rsid w:val="00D57FCE"/>
    <w:rsid w:val="00D600AF"/>
    <w:rsid w:val="00D61181"/>
    <w:rsid w:val="00D617B1"/>
    <w:rsid w:val="00D61EC3"/>
    <w:rsid w:val="00D621F9"/>
    <w:rsid w:val="00D62CDD"/>
    <w:rsid w:val="00D62EAC"/>
    <w:rsid w:val="00D63239"/>
    <w:rsid w:val="00D632CC"/>
    <w:rsid w:val="00D638DA"/>
    <w:rsid w:val="00D63BAD"/>
    <w:rsid w:val="00D63D00"/>
    <w:rsid w:val="00D64196"/>
    <w:rsid w:val="00D641F1"/>
    <w:rsid w:val="00D643B5"/>
    <w:rsid w:val="00D643F9"/>
    <w:rsid w:val="00D648B7"/>
    <w:rsid w:val="00D65029"/>
    <w:rsid w:val="00D65067"/>
    <w:rsid w:val="00D650A1"/>
    <w:rsid w:val="00D6575F"/>
    <w:rsid w:val="00D65A8B"/>
    <w:rsid w:val="00D66467"/>
    <w:rsid w:val="00D6697D"/>
    <w:rsid w:val="00D673E4"/>
    <w:rsid w:val="00D67982"/>
    <w:rsid w:val="00D67B56"/>
    <w:rsid w:val="00D67FE6"/>
    <w:rsid w:val="00D703D9"/>
    <w:rsid w:val="00D7064B"/>
    <w:rsid w:val="00D70F9A"/>
    <w:rsid w:val="00D70FA0"/>
    <w:rsid w:val="00D719BF"/>
    <w:rsid w:val="00D71C7D"/>
    <w:rsid w:val="00D71EA6"/>
    <w:rsid w:val="00D723BF"/>
    <w:rsid w:val="00D7264F"/>
    <w:rsid w:val="00D72795"/>
    <w:rsid w:val="00D72B7D"/>
    <w:rsid w:val="00D72C8A"/>
    <w:rsid w:val="00D73088"/>
    <w:rsid w:val="00D7315A"/>
    <w:rsid w:val="00D734A9"/>
    <w:rsid w:val="00D73B81"/>
    <w:rsid w:val="00D73EA1"/>
    <w:rsid w:val="00D73F13"/>
    <w:rsid w:val="00D74098"/>
    <w:rsid w:val="00D742D6"/>
    <w:rsid w:val="00D74375"/>
    <w:rsid w:val="00D74C94"/>
    <w:rsid w:val="00D74E03"/>
    <w:rsid w:val="00D7518C"/>
    <w:rsid w:val="00D7518E"/>
    <w:rsid w:val="00D75D49"/>
    <w:rsid w:val="00D75E05"/>
    <w:rsid w:val="00D761EF"/>
    <w:rsid w:val="00D761F3"/>
    <w:rsid w:val="00D7685D"/>
    <w:rsid w:val="00D769F3"/>
    <w:rsid w:val="00D77011"/>
    <w:rsid w:val="00D77596"/>
    <w:rsid w:val="00D7764F"/>
    <w:rsid w:val="00D77873"/>
    <w:rsid w:val="00D778AA"/>
    <w:rsid w:val="00D778C1"/>
    <w:rsid w:val="00D77C8F"/>
    <w:rsid w:val="00D80A19"/>
    <w:rsid w:val="00D8149F"/>
    <w:rsid w:val="00D816FC"/>
    <w:rsid w:val="00D81D1B"/>
    <w:rsid w:val="00D81E03"/>
    <w:rsid w:val="00D821FA"/>
    <w:rsid w:val="00D82567"/>
    <w:rsid w:val="00D8273E"/>
    <w:rsid w:val="00D82ADB"/>
    <w:rsid w:val="00D82E0F"/>
    <w:rsid w:val="00D839E8"/>
    <w:rsid w:val="00D83F72"/>
    <w:rsid w:val="00D84671"/>
    <w:rsid w:val="00D8490B"/>
    <w:rsid w:val="00D84FBC"/>
    <w:rsid w:val="00D85442"/>
    <w:rsid w:val="00D865FD"/>
    <w:rsid w:val="00D868F6"/>
    <w:rsid w:val="00D86B12"/>
    <w:rsid w:val="00D86C0A"/>
    <w:rsid w:val="00D86E5E"/>
    <w:rsid w:val="00D86F48"/>
    <w:rsid w:val="00D86FCC"/>
    <w:rsid w:val="00D876F7"/>
    <w:rsid w:val="00D87C6E"/>
    <w:rsid w:val="00D90253"/>
    <w:rsid w:val="00D903E2"/>
    <w:rsid w:val="00D906CD"/>
    <w:rsid w:val="00D9104C"/>
    <w:rsid w:val="00D91879"/>
    <w:rsid w:val="00D91E6F"/>
    <w:rsid w:val="00D92183"/>
    <w:rsid w:val="00D92592"/>
    <w:rsid w:val="00D92B21"/>
    <w:rsid w:val="00D92B51"/>
    <w:rsid w:val="00D92F12"/>
    <w:rsid w:val="00D92FA1"/>
    <w:rsid w:val="00D934C2"/>
    <w:rsid w:val="00D941B8"/>
    <w:rsid w:val="00D94C59"/>
    <w:rsid w:val="00D94CD9"/>
    <w:rsid w:val="00D95BC8"/>
    <w:rsid w:val="00D95CD9"/>
    <w:rsid w:val="00D95CFC"/>
    <w:rsid w:val="00D9632D"/>
    <w:rsid w:val="00D963BC"/>
    <w:rsid w:val="00D96658"/>
    <w:rsid w:val="00D96721"/>
    <w:rsid w:val="00D96A44"/>
    <w:rsid w:val="00D9714D"/>
    <w:rsid w:val="00D97902"/>
    <w:rsid w:val="00D97921"/>
    <w:rsid w:val="00D97B3E"/>
    <w:rsid w:val="00D97D22"/>
    <w:rsid w:val="00DA0136"/>
    <w:rsid w:val="00DA10DC"/>
    <w:rsid w:val="00DA11D8"/>
    <w:rsid w:val="00DA1497"/>
    <w:rsid w:val="00DA1CBF"/>
    <w:rsid w:val="00DA28FE"/>
    <w:rsid w:val="00DA2909"/>
    <w:rsid w:val="00DA32FB"/>
    <w:rsid w:val="00DA339F"/>
    <w:rsid w:val="00DA395B"/>
    <w:rsid w:val="00DA3979"/>
    <w:rsid w:val="00DA3989"/>
    <w:rsid w:val="00DA42C9"/>
    <w:rsid w:val="00DA43C9"/>
    <w:rsid w:val="00DA4689"/>
    <w:rsid w:val="00DA5E3F"/>
    <w:rsid w:val="00DA65CF"/>
    <w:rsid w:val="00DA6D0B"/>
    <w:rsid w:val="00DA71BD"/>
    <w:rsid w:val="00DA7345"/>
    <w:rsid w:val="00DA75CF"/>
    <w:rsid w:val="00DA762A"/>
    <w:rsid w:val="00DA7B38"/>
    <w:rsid w:val="00DA7C8B"/>
    <w:rsid w:val="00DB096E"/>
    <w:rsid w:val="00DB097D"/>
    <w:rsid w:val="00DB0EBE"/>
    <w:rsid w:val="00DB1D84"/>
    <w:rsid w:val="00DB2074"/>
    <w:rsid w:val="00DB2116"/>
    <w:rsid w:val="00DB2130"/>
    <w:rsid w:val="00DB21EA"/>
    <w:rsid w:val="00DB2395"/>
    <w:rsid w:val="00DB23D3"/>
    <w:rsid w:val="00DB24D1"/>
    <w:rsid w:val="00DB2A6E"/>
    <w:rsid w:val="00DB2C2F"/>
    <w:rsid w:val="00DB3569"/>
    <w:rsid w:val="00DB3ABC"/>
    <w:rsid w:val="00DB3D14"/>
    <w:rsid w:val="00DB3E8E"/>
    <w:rsid w:val="00DB450C"/>
    <w:rsid w:val="00DB476E"/>
    <w:rsid w:val="00DB495F"/>
    <w:rsid w:val="00DB51A9"/>
    <w:rsid w:val="00DB575D"/>
    <w:rsid w:val="00DB5AEE"/>
    <w:rsid w:val="00DB5C31"/>
    <w:rsid w:val="00DB5FD4"/>
    <w:rsid w:val="00DB60A7"/>
    <w:rsid w:val="00DB61AD"/>
    <w:rsid w:val="00DB7085"/>
    <w:rsid w:val="00DB7491"/>
    <w:rsid w:val="00DC0214"/>
    <w:rsid w:val="00DC03AE"/>
    <w:rsid w:val="00DC0969"/>
    <w:rsid w:val="00DC0A99"/>
    <w:rsid w:val="00DC1879"/>
    <w:rsid w:val="00DC27E9"/>
    <w:rsid w:val="00DC29E3"/>
    <w:rsid w:val="00DC2C42"/>
    <w:rsid w:val="00DC35F9"/>
    <w:rsid w:val="00DC3810"/>
    <w:rsid w:val="00DC3F95"/>
    <w:rsid w:val="00DC4A75"/>
    <w:rsid w:val="00DC4F15"/>
    <w:rsid w:val="00DC53E0"/>
    <w:rsid w:val="00DC5A6B"/>
    <w:rsid w:val="00DC5D0E"/>
    <w:rsid w:val="00DC6DEF"/>
    <w:rsid w:val="00DC6E43"/>
    <w:rsid w:val="00DC6ED4"/>
    <w:rsid w:val="00DC7290"/>
    <w:rsid w:val="00DC7650"/>
    <w:rsid w:val="00DC7D1E"/>
    <w:rsid w:val="00DD0039"/>
    <w:rsid w:val="00DD0DD8"/>
    <w:rsid w:val="00DD158B"/>
    <w:rsid w:val="00DD1643"/>
    <w:rsid w:val="00DD16DB"/>
    <w:rsid w:val="00DD170C"/>
    <w:rsid w:val="00DD2770"/>
    <w:rsid w:val="00DD27E9"/>
    <w:rsid w:val="00DD2A9E"/>
    <w:rsid w:val="00DD2DFE"/>
    <w:rsid w:val="00DD2F78"/>
    <w:rsid w:val="00DD34EE"/>
    <w:rsid w:val="00DD3860"/>
    <w:rsid w:val="00DD3EEE"/>
    <w:rsid w:val="00DD446D"/>
    <w:rsid w:val="00DD46F3"/>
    <w:rsid w:val="00DD4D06"/>
    <w:rsid w:val="00DD5175"/>
    <w:rsid w:val="00DD54D6"/>
    <w:rsid w:val="00DD5666"/>
    <w:rsid w:val="00DD59AF"/>
    <w:rsid w:val="00DD5BE4"/>
    <w:rsid w:val="00DD5F9D"/>
    <w:rsid w:val="00DD62C5"/>
    <w:rsid w:val="00DD69EB"/>
    <w:rsid w:val="00DD6D74"/>
    <w:rsid w:val="00DD7941"/>
    <w:rsid w:val="00DE07CE"/>
    <w:rsid w:val="00DE0DF2"/>
    <w:rsid w:val="00DE0F41"/>
    <w:rsid w:val="00DE0FF9"/>
    <w:rsid w:val="00DE1540"/>
    <w:rsid w:val="00DE1E42"/>
    <w:rsid w:val="00DE2680"/>
    <w:rsid w:val="00DE277C"/>
    <w:rsid w:val="00DE2FAD"/>
    <w:rsid w:val="00DE3364"/>
    <w:rsid w:val="00DE394C"/>
    <w:rsid w:val="00DE3D89"/>
    <w:rsid w:val="00DE4771"/>
    <w:rsid w:val="00DE4F09"/>
    <w:rsid w:val="00DE5372"/>
    <w:rsid w:val="00DE61A1"/>
    <w:rsid w:val="00DE775C"/>
    <w:rsid w:val="00DE7B6E"/>
    <w:rsid w:val="00DF04D4"/>
    <w:rsid w:val="00DF0970"/>
    <w:rsid w:val="00DF0CB7"/>
    <w:rsid w:val="00DF1177"/>
    <w:rsid w:val="00DF18A8"/>
    <w:rsid w:val="00DF21DD"/>
    <w:rsid w:val="00DF30EA"/>
    <w:rsid w:val="00DF3113"/>
    <w:rsid w:val="00DF313B"/>
    <w:rsid w:val="00DF32D0"/>
    <w:rsid w:val="00DF345C"/>
    <w:rsid w:val="00DF3ABE"/>
    <w:rsid w:val="00DF3EC0"/>
    <w:rsid w:val="00DF44E6"/>
    <w:rsid w:val="00DF49F7"/>
    <w:rsid w:val="00DF534B"/>
    <w:rsid w:val="00DF56F5"/>
    <w:rsid w:val="00DF5CA3"/>
    <w:rsid w:val="00DF5E65"/>
    <w:rsid w:val="00DF60D0"/>
    <w:rsid w:val="00DF6317"/>
    <w:rsid w:val="00DF70E8"/>
    <w:rsid w:val="00DF731D"/>
    <w:rsid w:val="00DF79D1"/>
    <w:rsid w:val="00DF7A69"/>
    <w:rsid w:val="00E01204"/>
    <w:rsid w:val="00E01B5F"/>
    <w:rsid w:val="00E02534"/>
    <w:rsid w:val="00E02575"/>
    <w:rsid w:val="00E026F9"/>
    <w:rsid w:val="00E02AFF"/>
    <w:rsid w:val="00E02CC6"/>
    <w:rsid w:val="00E02D99"/>
    <w:rsid w:val="00E03055"/>
    <w:rsid w:val="00E0320B"/>
    <w:rsid w:val="00E03BDB"/>
    <w:rsid w:val="00E03E9B"/>
    <w:rsid w:val="00E0421D"/>
    <w:rsid w:val="00E04651"/>
    <w:rsid w:val="00E047C9"/>
    <w:rsid w:val="00E04BE3"/>
    <w:rsid w:val="00E053FE"/>
    <w:rsid w:val="00E055FB"/>
    <w:rsid w:val="00E058A6"/>
    <w:rsid w:val="00E05ACC"/>
    <w:rsid w:val="00E05DD0"/>
    <w:rsid w:val="00E065EA"/>
    <w:rsid w:val="00E07ED8"/>
    <w:rsid w:val="00E07F49"/>
    <w:rsid w:val="00E10333"/>
    <w:rsid w:val="00E10489"/>
    <w:rsid w:val="00E10836"/>
    <w:rsid w:val="00E109A0"/>
    <w:rsid w:val="00E1241D"/>
    <w:rsid w:val="00E1247E"/>
    <w:rsid w:val="00E1284E"/>
    <w:rsid w:val="00E12889"/>
    <w:rsid w:val="00E128B9"/>
    <w:rsid w:val="00E12AFF"/>
    <w:rsid w:val="00E12E07"/>
    <w:rsid w:val="00E13144"/>
    <w:rsid w:val="00E134E9"/>
    <w:rsid w:val="00E1361C"/>
    <w:rsid w:val="00E13A88"/>
    <w:rsid w:val="00E13AB6"/>
    <w:rsid w:val="00E14317"/>
    <w:rsid w:val="00E14835"/>
    <w:rsid w:val="00E1483D"/>
    <w:rsid w:val="00E148E0"/>
    <w:rsid w:val="00E148F1"/>
    <w:rsid w:val="00E1492F"/>
    <w:rsid w:val="00E14A3C"/>
    <w:rsid w:val="00E14A42"/>
    <w:rsid w:val="00E14B14"/>
    <w:rsid w:val="00E14B9A"/>
    <w:rsid w:val="00E14CCB"/>
    <w:rsid w:val="00E1531B"/>
    <w:rsid w:val="00E15CC4"/>
    <w:rsid w:val="00E15CC8"/>
    <w:rsid w:val="00E16234"/>
    <w:rsid w:val="00E16702"/>
    <w:rsid w:val="00E16770"/>
    <w:rsid w:val="00E168CE"/>
    <w:rsid w:val="00E16BD5"/>
    <w:rsid w:val="00E17206"/>
    <w:rsid w:val="00E17405"/>
    <w:rsid w:val="00E1764A"/>
    <w:rsid w:val="00E1769F"/>
    <w:rsid w:val="00E17A79"/>
    <w:rsid w:val="00E17B9B"/>
    <w:rsid w:val="00E20015"/>
    <w:rsid w:val="00E20B14"/>
    <w:rsid w:val="00E20DD4"/>
    <w:rsid w:val="00E20F22"/>
    <w:rsid w:val="00E217EB"/>
    <w:rsid w:val="00E21835"/>
    <w:rsid w:val="00E22049"/>
    <w:rsid w:val="00E22A34"/>
    <w:rsid w:val="00E234C7"/>
    <w:rsid w:val="00E2364A"/>
    <w:rsid w:val="00E23C7A"/>
    <w:rsid w:val="00E23F9C"/>
    <w:rsid w:val="00E2421A"/>
    <w:rsid w:val="00E24313"/>
    <w:rsid w:val="00E247CC"/>
    <w:rsid w:val="00E24D2F"/>
    <w:rsid w:val="00E24D5D"/>
    <w:rsid w:val="00E24E4A"/>
    <w:rsid w:val="00E263CE"/>
    <w:rsid w:val="00E26AF0"/>
    <w:rsid w:val="00E277B3"/>
    <w:rsid w:val="00E277FF"/>
    <w:rsid w:val="00E27ACD"/>
    <w:rsid w:val="00E27AF7"/>
    <w:rsid w:val="00E3014B"/>
    <w:rsid w:val="00E30530"/>
    <w:rsid w:val="00E30D9A"/>
    <w:rsid w:val="00E311F1"/>
    <w:rsid w:val="00E31A12"/>
    <w:rsid w:val="00E31BA4"/>
    <w:rsid w:val="00E3227B"/>
    <w:rsid w:val="00E32B00"/>
    <w:rsid w:val="00E33509"/>
    <w:rsid w:val="00E33FB2"/>
    <w:rsid w:val="00E342C1"/>
    <w:rsid w:val="00E343EB"/>
    <w:rsid w:val="00E34749"/>
    <w:rsid w:val="00E34BC7"/>
    <w:rsid w:val="00E356A9"/>
    <w:rsid w:val="00E35992"/>
    <w:rsid w:val="00E35F40"/>
    <w:rsid w:val="00E361AE"/>
    <w:rsid w:val="00E36A14"/>
    <w:rsid w:val="00E36AEF"/>
    <w:rsid w:val="00E36B06"/>
    <w:rsid w:val="00E37713"/>
    <w:rsid w:val="00E37807"/>
    <w:rsid w:val="00E37F07"/>
    <w:rsid w:val="00E37FE7"/>
    <w:rsid w:val="00E40073"/>
    <w:rsid w:val="00E40330"/>
    <w:rsid w:val="00E4091E"/>
    <w:rsid w:val="00E40D7D"/>
    <w:rsid w:val="00E41843"/>
    <w:rsid w:val="00E41899"/>
    <w:rsid w:val="00E41BB9"/>
    <w:rsid w:val="00E41F14"/>
    <w:rsid w:val="00E42150"/>
    <w:rsid w:val="00E4255B"/>
    <w:rsid w:val="00E42908"/>
    <w:rsid w:val="00E42AD2"/>
    <w:rsid w:val="00E42B1F"/>
    <w:rsid w:val="00E42C59"/>
    <w:rsid w:val="00E431DD"/>
    <w:rsid w:val="00E43DCD"/>
    <w:rsid w:val="00E43FF4"/>
    <w:rsid w:val="00E44095"/>
    <w:rsid w:val="00E44360"/>
    <w:rsid w:val="00E44885"/>
    <w:rsid w:val="00E44F95"/>
    <w:rsid w:val="00E452A6"/>
    <w:rsid w:val="00E4536B"/>
    <w:rsid w:val="00E45394"/>
    <w:rsid w:val="00E45768"/>
    <w:rsid w:val="00E459D5"/>
    <w:rsid w:val="00E45AE0"/>
    <w:rsid w:val="00E45C38"/>
    <w:rsid w:val="00E45C70"/>
    <w:rsid w:val="00E463B0"/>
    <w:rsid w:val="00E4668C"/>
    <w:rsid w:val="00E4685F"/>
    <w:rsid w:val="00E46E69"/>
    <w:rsid w:val="00E471EE"/>
    <w:rsid w:val="00E47D96"/>
    <w:rsid w:val="00E503A1"/>
    <w:rsid w:val="00E50523"/>
    <w:rsid w:val="00E50795"/>
    <w:rsid w:val="00E50E66"/>
    <w:rsid w:val="00E5159E"/>
    <w:rsid w:val="00E51F27"/>
    <w:rsid w:val="00E523EC"/>
    <w:rsid w:val="00E52409"/>
    <w:rsid w:val="00E52621"/>
    <w:rsid w:val="00E527E0"/>
    <w:rsid w:val="00E52C61"/>
    <w:rsid w:val="00E52D3A"/>
    <w:rsid w:val="00E53381"/>
    <w:rsid w:val="00E53506"/>
    <w:rsid w:val="00E53A5A"/>
    <w:rsid w:val="00E54055"/>
    <w:rsid w:val="00E54063"/>
    <w:rsid w:val="00E549D8"/>
    <w:rsid w:val="00E54BFD"/>
    <w:rsid w:val="00E55142"/>
    <w:rsid w:val="00E55597"/>
    <w:rsid w:val="00E5566F"/>
    <w:rsid w:val="00E556A8"/>
    <w:rsid w:val="00E55E67"/>
    <w:rsid w:val="00E57613"/>
    <w:rsid w:val="00E576CE"/>
    <w:rsid w:val="00E57AE7"/>
    <w:rsid w:val="00E57ECB"/>
    <w:rsid w:val="00E60694"/>
    <w:rsid w:val="00E612FF"/>
    <w:rsid w:val="00E61D09"/>
    <w:rsid w:val="00E6285E"/>
    <w:rsid w:val="00E62928"/>
    <w:rsid w:val="00E6308F"/>
    <w:rsid w:val="00E631AE"/>
    <w:rsid w:val="00E63BB6"/>
    <w:rsid w:val="00E63FF2"/>
    <w:rsid w:val="00E64810"/>
    <w:rsid w:val="00E64DB3"/>
    <w:rsid w:val="00E64F57"/>
    <w:rsid w:val="00E65007"/>
    <w:rsid w:val="00E653C5"/>
    <w:rsid w:val="00E65F70"/>
    <w:rsid w:val="00E66325"/>
    <w:rsid w:val="00E6633C"/>
    <w:rsid w:val="00E66A03"/>
    <w:rsid w:val="00E670DA"/>
    <w:rsid w:val="00E670ED"/>
    <w:rsid w:val="00E67332"/>
    <w:rsid w:val="00E6735B"/>
    <w:rsid w:val="00E67DF2"/>
    <w:rsid w:val="00E7038B"/>
    <w:rsid w:val="00E7047B"/>
    <w:rsid w:val="00E7064F"/>
    <w:rsid w:val="00E70BD2"/>
    <w:rsid w:val="00E70BDC"/>
    <w:rsid w:val="00E71087"/>
    <w:rsid w:val="00E71445"/>
    <w:rsid w:val="00E716AA"/>
    <w:rsid w:val="00E71725"/>
    <w:rsid w:val="00E71E6C"/>
    <w:rsid w:val="00E72095"/>
    <w:rsid w:val="00E7210F"/>
    <w:rsid w:val="00E72120"/>
    <w:rsid w:val="00E725E5"/>
    <w:rsid w:val="00E728FF"/>
    <w:rsid w:val="00E73235"/>
    <w:rsid w:val="00E73845"/>
    <w:rsid w:val="00E73D4D"/>
    <w:rsid w:val="00E73DBE"/>
    <w:rsid w:val="00E73F23"/>
    <w:rsid w:val="00E74189"/>
    <w:rsid w:val="00E744C7"/>
    <w:rsid w:val="00E74692"/>
    <w:rsid w:val="00E747D4"/>
    <w:rsid w:val="00E74A46"/>
    <w:rsid w:val="00E74B52"/>
    <w:rsid w:val="00E75432"/>
    <w:rsid w:val="00E757B1"/>
    <w:rsid w:val="00E7589C"/>
    <w:rsid w:val="00E75B6C"/>
    <w:rsid w:val="00E75E90"/>
    <w:rsid w:val="00E75F92"/>
    <w:rsid w:val="00E76E00"/>
    <w:rsid w:val="00E77785"/>
    <w:rsid w:val="00E77BD7"/>
    <w:rsid w:val="00E802DF"/>
    <w:rsid w:val="00E809C5"/>
    <w:rsid w:val="00E80E97"/>
    <w:rsid w:val="00E80F7B"/>
    <w:rsid w:val="00E811D1"/>
    <w:rsid w:val="00E8124B"/>
    <w:rsid w:val="00E81499"/>
    <w:rsid w:val="00E81729"/>
    <w:rsid w:val="00E818D1"/>
    <w:rsid w:val="00E81A78"/>
    <w:rsid w:val="00E83224"/>
    <w:rsid w:val="00E8332F"/>
    <w:rsid w:val="00E83A84"/>
    <w:rsid w:val="00E84616"/>
    <w:rsid w:val="00E846D8"/>
    <w:rsid w:val="00E84A91"/>
    <w:rsid w:val="00E84CB4"/>
    <w:rsid w:val="00E8527A"/>
    <w:rsid w:val="00E8529F"/>
    <w:rsid w:val="00E8636F"/>
    <w:rsid w:val="00E86647"/>
    <w:rsid w:val="00E86667"/>
    <w:rsid w:val="00E86E85"/>
    <w:rsid w:val="00E8767D"/>
    <w:rsid w:val="00E87A46"/>
    <w:rsid w:val="00E9011D"/>
    <w:rsid w:val="00E90522"/>
    <w:rsid w:val="00E906B7"/>
    <w:rsid w:val="00E90795"/>
    <w:rsid w:val="00E90CCA"/>
    <w:rsid w:val="00E91301"/>
    <w:rsid w:val="00E916ED"/>
    <w:rsid w:val="00E9173F"/>
    <w:rsid w:val="00E918F1"/>
    <w:rsid w:val="00E922C0"/>
    <w:rsid w:val="00E929B7"/>
    <w:rsid w:val="00E92DA0"/>
    <w:rsid w:val="00E9321D"/>
    <w:rsid w:val="00E93721"/>
    <w:rsid w:val="00E93B1A"/>
    <w:rsid w:val="00E93EDA"/>
    <w:rsid w:val="00E943E2"/>
    <w:rsid w:val="00E947F7"/>
    <w:rsid w:val="00E952E9"/>
    <w:rsid w:val="00E95AAD"/>
    <w:rsid w:val="00E95FF8"/>
    <w:rsid w:val="00E9677D"/>
    <w:rsid w:val="00E9687C"/>
    <w:rsid w:val="00E96A14"/>
    <w:rsid w:val="00E96E7D"/>
    <w:rsid w:val="00E97BC9"/>
    <w:rsid w:val="00E97DDD"/>
    <w:rsid w:val="00EA0336"/>
    <w:rsid w:val="00EA0425"/>
    <w:rsid w:val="00EA0918"/>
    <w:rsid w:val="00EA0CB5"/>
    <w:rsid w:val="00EA0EDC"/>
    <w:rsid w:val="00EA0F08"/>
    <w:rsid w:val="00EA0FB7"/>
    <w:rsid w:val="00EA13A2"/>
    <w:rsid w:val="00EA199F"/>
    <w:rsid w:val="00EA1C5E"/>
    <w:rsid w:val="00EA222D"/>
    <w:rsid w:val="00EA23FE"/>
    <w:rsid w:val="00EA2C69"/>
    <w:rsid w:val="00EA35DE"/>
    <w:rsid w:val="00EA3C04"/>
    <w:rsid w:val="00EA4670"/>
    <w:rsid w:val="00EA4B51"/>
    <w:rsid w:val="00EA4C46"/>
    <w:rsid w:val="00EA50BE"/>
    <w:rsid w:val="00EA5982"/>
    <w:rsid w:val="00EA5A08"/>
    <w:rsid w:val="00EA5F8B"/>
    <w:rsid w:val="00EA61A0"/>
    <w:rsid w:val="00EA68A3"/>
    <w:rsid w:val="00EA6EC4"/>
    <w:rsid w:val="00EA75C4"/>
    <w:rsid w:val="00EA7CD9"/>
    <w:rsid w:val="00EA7EF2"/>
    <w:rsid w:val="00EB011B"/>
    <w:rsid w:val="00EB051B"/>
    <w:rsid w:val="00EB0980"/>
    <w:rsid w:val="00EB0B08"/>
    <w:rsid w:val="00EB10B7"/>
    <w:rsid w:val="00EB194C"/>
    <w:rsid w:val="00EB1BB2"/>
    <w:rsid w:val="00EB1E89"/>
    <w:rsid w:val="00EB1EBD"/>
    <w:rsid w:val="00EB1F1B"/>
    <w:rsid w:val="00EB2131"/>
    <w:rsid w:val="00EB27B2"/>
    <w:rsid w:val="00EB2DEC"/>
    <w:rsid w:val="00EB3128"/>
    <w:rsid w:val="00EB3394"/>
    <w:rsid w:val="00EB38E1"/>
    <w:rsid w:val="00EB3B01"/>
    <w:rsid w:val="00EB3FA7"/>
    <w:rsid w:val="00EB41BC"/>
    <w:rsid w:val="00EB4F3C"/>
    <w:rsid w:val="00EB4F4A"/>
    <w:rsid w:val="00EB50FC"/>
    <w:rsid w:val="00EB5105"/>
    <w:rsid w:val="00EB518C"/>
    <w:rsid w:val="00EB5624"/>
    <w:rsid w:val="00EB5BF9"/>
    <w:rsid w:val="00EB5DB6"/>
    <w:rsid w:val="00EB6171"/>
    <w:rsid w:val="00EB6B6A"/>
    <w:rsid w:val="00EB6EDD"/>
    <w:rsid w:val="00EB78D2"/>
    <w:rsid w:val="00EB7CAD"/>
    <w:rsid w:val="00EB7DD0"/>
    <w:rsid w:val="00EC0005"/>
    <w:rsid w:val="00EC0452"/>
    <w:rsid w:val="00EC07D2"/>
    <w:rsid w:val="00EC0D08"/>
    <w:rsid w:val="00EC17AD"/>
    <w:rsid w:val="00EC17E3"/>
    <w:rsid w:val="00EC19FD"/>
    <w:rsid w:val="00EC238D"/>
    <w:rsid w:val="00EC2703"/>
    <w:rsid w:val="00EC294E"/>
    <w:rsid w:val="00EC2EBB"/>
    <w:rsid w:val="00EC30D2"/>
    <w:rsid w:val="00EC3513"/>
    <w:rsid w:val="00EC3A43"/>
    <w:rsid w:val="00EC433A"/>
    <w:rsid w:val="00EC445A"/>
    <w:rsid w:val="00EC4E91"/>
    <w:rsid w:val="00EC5814"/>
    <w:rsid w:val="00EC5930"/>
    <w:rsid w:val="00EC5986"/>
    <w:rsid w:val="00EC5E4B"/>
    <w:rsid w:val="00EC65B5"/>
    <w:rsid w:val="00EC6868"/>
    <w:rsid w:val="00EC78A6"/>
    <w:rsid w:val="00ED0C87"/>
    <w:rsid w:val="00ED0E42"/>
    <w:rsid w:val="00ED1FE1"/>
    <w:rsid w:val="00ED20E7"/>
    <w:rsid w:val="00ED23D5"/>
    <w:rsid w:val="00ED258B"/>
    <w:rsid w:val="00ED2969"/>
    <w:rsid w:val="00ED29A0"/>
    <w:rsid w:val="00ED2C20"/>
    <w:rsid w:val="00ED2E71"/>
    <w:rsid w:val="00ED35F5"/>
    <w:rsid w:val="00ED3AB3"/>
    <w:rsid w:val="00ED3E40"/>
    <w:rsid w:val="00ED4017"/>
    <w:rsid w:val="00ED48C3"/>
    <w:rsid w:val="00ED4B81"/>
    <w:rsid w:val="00ED4C3D"/>
    <w:rsid w:val="00ED4C7E"/>
    <w:rsid w:val="00ED5066"/>
    <w:rsid w:val="00ED59CA"/>
    <w:rsid w:val="00ED616C"/>
    <w:rsid w:val="00ED693B"/>
    <w:rsid w:val="00ED6E1D"/>
    <w:rsid w:val="00ED6F01"/>
    <w:rsid w:val="00ED702D"/>
    <w:rsid w:val="00ED7067"/>
    <w:rsid w:val="00ED7733"/>
    <w:rsid w:val="00ED7D2E"/>
    <w:rsid w:val="00ED7E9A"/>
    <w:rsid w:val="00EE0387"/>
    <w:rsid w:val="00EE03EE"/>
    <w:rsid w:val="00EE07F6"/>
    <w:rsid w:val="00EE083C"/>
    <w:rsid w:val="00EE0E51"/>
    <w:rsid w:val="00EE105E"/>
    <w:rsid w:val="00EE188A"/>
    <w:rsid w:val="00EE1955"/>
    <w:rsid w:val="00EE1975"/>
    <w:rsid w:val="00EE1BDE"/>
    <w:rsid w:val="00EE1DD4"/>
    <w:rsid w:val="00EE289A"/>
    <w:rsid w:val="00EE2FA2"/>
    <w:rsid w:val="00EE3CCF"/>
    <w:rsid w:val="00EE3D6A"/>
    <w:rsid w:val="00EE4B84"/>
    <w:rsid w:val="00EE52BE"/>
    <w:rsid w:val="00EE5636"/>
    <w:rsid w:val="00EE573C"/>
    <w:rsid w:val="00EE5C7E"/>
    <w:rsid w:val="00EE5D24"/>
    <w:rsid w:val="00EE600B"/>
    <w:rsid w:val="00EE616B"/>
    <w:rsid w:val="00EE646A"/>
    <w:rsid w:val="00EE665B"/>
    <w:rsid w:val="00EE6672"/>
    <w:rsid w:val="00EE6805"/>
    <w:rsid w:val="00EE770B"/>
    <w:rsid w:val="00EE7A0E"/>
    <w:rsid w:val="00EE7ABF"/>
    <w:rsid w:val="00EF1303"/>
    <w:rsid w:val="00EF1461"/>
    <w:rsid w:val="00EF197A"/>
    <w:rsid w:val="00EF1F11"/>
    <w:rsid w:val="00EF2025"/>
    <w:rsid w:val="00EF2E5A"/>
    <w:rsid w:val="00EF2E63"/>
    <w:rsid w:val="00EF3491"/>
    <w:rsid w:val="00EF35F6"/>
    <w:rsid w:val="00EF3618"/>
    <w:rsid w:val="00EF364A"/>
    <w:rsid w:val="00EF3F48"/>
    <w:rsid w:val="00EF4D52"/>
    <w:rsid w:val="00EF5A72"/>
    <w:rsid w:val="00EF5C96"/>
    <w:rsid w:val="00EF618A"/>
    <w:rsid w:val="00EF6203"/>
    <w:rsid w:val="00EF63D0"/>
    <w:rsid w:val="00EF67A9"/>
    <w:rsid w:val="00EF693E"/>
    <w:rsid w:val="00EF6ADC"/>
    <w:rsid w:val="00EF6BB9"/>
    <w:rsid w:val="00EF725B"/>
    <w:rsid w:val="00EF7304"/>
    <w:rsid w:val="00EF73E0"/>
    <w:rsid w:val="00EF7533"/>
    <w:rsid w:val="00EF7618"/>
    <w:rsid w:val="00EF7D45"/>
    <w:rsid w:val="00EF7E13"/>
    <w:rsid w:val="00EF7E4F"/>
    <w:rsid w:val="00F01934"/>
    <w:rsid w:val="00F024F2"/>
    <w:rsid w:val="00F02715"/>
    <w:rsid w:val="00F02A11"/>
    <w:rsid w:val="00F0320C"/>
    <w:rsid w:val="00F03285"/>
    <w:rsid w:val="00F0345A"/>
    <w:rsid w:val="00F0381F"/>
    <w:rsid w:val="00F03F1B"/>
    <w:rsid w:val="00F04BFB"/>
    <w:rsid w:val="00F04DD9"/>
    <w:rsid w:val="00F05ACB"/>
    <w:rsid w:val="00F05AD7"/>
    <w:rsid w:val="00F05B32"/>
    <w:rsid w:val="00F06686"/>
    <w:rsid w:val="00F06C0C"/>
    <w:rsid w:val="00F07149"/>
    <w:rsid w:val="00F0720B"/>
    <w:rsid w:val="00F076CB"/>
    <w:rsid w:val="00F07967"/>
    <w:rsid w:val="00F100E4"/>
    <w:rsid w:val="00F10549"/>
    <w:rsid w:val="00F10590"/>
    <w:rsid w:val="00F10931"/>
    <w:rsid w:val="00F10C25"/>
    <w:rsid w:val="00F10ED9"/>
    <w:rsid w:val="00F117F2"/>
    <w:rsid w:val="00F11BFA"/>
    <w:rsid w:val="00F121CB"/>
    <w:rsid w:val="00F121DE"/>
    <w:rsid w:val="00F128F8"/>
    <w:rsid w:val="00F12B72"/>
    <w:rsid w:val="00F12E62"/>
    <w:rsid w:val="00F12FF7"/>
    <w:rsid w:val="00F14AA9"/>
    <w:rsid w:val="00F14B24"/>
    <w:rsid w:val="00F15055"/>
    <w:rsid w:val="00F151CD"/>
    <w:rsid w:val="00F1598D"/>
    <w:rsid w:val="00F15BFF"/>
    <w:rsid w:val="00F15C92"/>
    <w:rsid w:val="00F15C9D"/>
    <w:rsid w:val="00F15E97"/>
    <w:rsid w:val="00F15FE7"/>
    <w:rsid w:val="00F166CB"/>
    <w:rsid w:val="00F16AD7"/>
    <w:rsid w:val="00F16C64"/>
    <w:rsid w:val="00F1707E"/>
    <w:rsid w:val="00F175E5"/>
    <w:rsid w:val="00F1760C"/>
    <w:rsid w:val="00F17B6B"/>
    <w:rsid w:val="00F17C27"/>
    <w:rsid w:val="00F17DD1"/>
    <w:rsid w:val="00F2026D"/>
    <w:rsid w:val="00F205AF"/>
    <w:rsid w:val="00F20681"/>
    <w:rsid w:val="00F208C7"/>
    <w:rsid w:val="00F21245"/>
    <w:rsid w:val="00F2146C"/>
    <w:rsid w:val="00F2171A"/>
    <w:rsid w:val="00F21967"/>
    <w:rsid w:val="00F21DB5"/>
    <w:rsid w:val="00F2226D"/>
    <w:rsid w:val="00F224A2"/>
    <w:rsid w:val="00F22A6A"/>
    <w:rsid w:val="00F22BE9"/>
    <w:rsid w:val="00F22F50"/>
    <w:rsid w:val="00F23346"/>
    <w:rsid w:val="00F2393E"/>
    <w:rsid w:val="00F2395F"/>
    <w:rsid w:val="00F23EB5"/>
    <w:rsid w:val="00F2419F"/>
    <w:rsid w:val="00F241B6"/>
    <w:rsid w:val="00F24658"/>
    <w:rsid w:val="00F2470D"/>
    <w:rsid w:val="00F2482F"/>
    <w:rsid w:val="00F24878"/>
    <w:rsid w:val="00F24AD3"/>
    <w:rsid w:val="00F25108"/>
    <w:rsid w:val="00F25844"/>
    <w:rsid w:val="00F25860"/>
    <w:rsid w:val="00F265C1"/>
    <w:rsid w:val="00F2673E"/>
    <w:rsid w:val="00F26C63"/>
    <w:rsid w:val="00F271F0"/>
    <w:rsid w:val="00F3019A"/>
    <w:rsid w:val="00F30F66"/>
    <w:rsid w:val="00F31F18"/>
    <w:rsid w:val="00F347B3"/>
    <w:rsid w:val="00F34864"/>
    <w:rsid w:val="00F351C4"/>
    <w:rsid w:val="00F351DB"/>
    <w:rsid w:val="00F35C9D"/>
    <w:rsid w:val="00F35E7D"/>
    <w:rsid w:val="00F35FB6"/>
    <w:rsid w:val="00F366A0"/>
    <w:rsid w:val="00F36AFD"/>
    <w:rsid w:val="00F36E6C"/>
    <w:rsid w:val="00F37177"/>
    <w:rsid w:val="00F374B0"/>
    <w:rsid w:val="00F37DCF"/>
    <w:rsid w:val="00F37E92"/>
    <w:rsid w:val="00F402E7"/>
    <w:rsid w:val="00F403E4"/>
    <w:rsid w:val="00F41104"/>
    <w:rsid w:val="00F415B1"/>
    <w:rsid w:val="00F41C70"/>
    <w:rsid w:val="00F42189"/>
    <w:rsid w:val="00F4231D"/>
    <w:rsid w:val="00F42786"/>
    <w:rsid w:val="00F42AF6"/>
    <w:rsid w:val="00F42D28"/>
    <w:rsid w:val="00F433E8"/>
    <w:rsid w:val="00F43ADC"/>
    <w:rsid w:val="00F43D9A"/>
    <w:rsid w:val="00F4403E"/>
    <w:rsid w:val="00F4427F"/>
    <w:rsid w:val="00F44324"/>
    <w:rsid w:val="00F44543"/>
    <w:rsid w:val="00F445C6"/>
    <w:rsid w:val="00F4471B"/>
    <w:rsid w:val="00F44D10"/>
    <w:rsid w:val="00F4508B"/>
    <w:rsid w:val="00F45224"/>
    <w:rsid w:val="00F45ABD"/>
    <w:rsid w:val="00F45CDB"/>
    <w:rsid w:val="00F45E4F"/>
    <w:rsid w:val="00F45F34"/>
    <w:rsid w:val="00F46C15"/>
    <w:rsid w:val="00F47C1A"/>
    <w:rsid w:val="00F47F5E"/>
    <w:rsid w:val="00F50382"/>
    <w:rsid w:val="00F50D5B"/>
    <w:rsid w:val="00F51067"/>
    <w:rsid w:val="00F5160D"/>
    <w:rsid w:val="00F52588"/>
    <w:rsid w:val="00F52D95"/>
    <w:rsid w:val="00F5332F"/>
    <w:rsid w:val="00F539B2"/>
    <w:rsid w:val="00F53DD5"/>
    <w:rsid w:val="00F541A5"/>
    <w:rsid w:val="00F5449A"/>
    <w:rsid w:val="00F54703"/>
    <w:rsid w:val="00F54ACC"/>
    <w:rsid w:val="00F553A8"/>
    <w:rsid w:val="00F55BDC"/>
    <w:rsid w:val="00F56117"/>
    <w:rsid w:val="00F56DA0"/>
    <w:rsid w:val="00F573C3"/>
    <w:rsid w:val="00F576C3"/>
    <w:rsid w:val="00F57B1C"/>
    <w:rsid w:val="00F57F05"/>
    <w:rsid w:val="00F609FD"/>
    <w:rsid w:val="00F60A17"/>
    <w:rsid w:val="00F60CBA"/>
    <w:rsid w:val="00F6163D"/>
    <w:rsid w:val="00F61A53"/>
    <w:rsid w:val="00F62645"/>
    <w:rsid w:val="00F6271E"/>
    <w:rsid w:val="00F62CAF"/>
    <w:rsid w:val="00F6305F"/>
    <w:rsid w:val="00F63316"/>
    <w:rsid w:val="00F63C3C"/>
    <w:rsid w:val="00F63EBA"/>
    <w:rsid w:val="00F643A1"/>
    <w:rsid w:val="00F645B0"/>
    <w:rsid w:val="00F648EA"/>
    <w:rsid w:val="00F64966"/>
    <w:rsid w:val="00F64A79"/>
    <w:rsid w:val="00F6514D"/>
    <w:rsid w:val="00F65696"/>
    <w:rsid w:val="00F65B3C"/>
    <w:rsid w:val="00F65CCE"/>
    <w:rsid w:val="00F66705"/>
    <w:rsid w:val="00F66D7E"/>
    <w:rsid w:val="00F66F79"/>
    <w:rsid w:val="00F6702F"/>
    <w:rsid w:val="00F6722E"/>
    <w:rsid w:val="00F674D3"/>
    <w:rsid w:val="00F67C69"/>
    <w:rsid w:val="00F67FE5"/>
    <w:rsid w:val="00F705A3"/>
    <w:rsid w:val="00F70950"/>
    <w:rsid w:val="00F70AEF"/>
    <w:rsid w:val="00F70BC0"/>
    <w:rsid w:val="00F718FE"/>
    <w:rsid w:val="00F71B9B"/>
    <w:rsid w:val="00F71D50"/>
    <w:rsid w:val="00F71DE7"/>
    <w:rsid w:val="00F71FB0"/>
    <w:rsid w:val="00F7302B"/>
    <w:rsid w:val="00F73569"/>
    <w:rsid w:val="00F73669"/>
    <w:rsid w:val="00F737B0"/>
    <w:rsid w:val="00F73E40"/>
    <w:rsid w:val="00F74AA6"/>
    <w:rsid w:val="00F74B64"/>
    <w:rsid w:val="00F74D06"/>
    <w:rsid w:val="00F74E17"/>
    <w:rsid w:val="00F7540E"/>
    <w:rsid w:val="00F75B34"/>
    <w:rsid w:val="00F76371"/>
    <w:rsid w:val="00F763DC"/>
    <w:rsid w:val="00F76779"/>
    <w:rsid w:val="00F76E2B"/>
    <w:rsid w:val="00F77144"/>
    <w:rsid w:val="00F77269"/>
    <w:rsid w:val="00F774D6"/>
    <w:rsid w:val="00F77575"/>
    <w:rsid w:val="00F775F1"/>
    <w:rsid w:val="00F7768E"/>
    <w:rsid w:val="00F7771A"/>
    <w:rsid w:val="00F77F54"/>
    <w:rsid w:val="00F802F6"/>
    <w:rsid w:val="00F80355"/>
    <w:rsid w:val="00F80B13"/>
    <w:rsid w:val="00F80EE7"/>
    <w:rsid w:val="00F81706"/>
    <w:rsid w:val="00F8187F"/>
    <w:rsid w:val="00F82005"/>
    <w:rsid w:val="00F8204C"/>
    <w:rsid w:val="00F82967"/>
    <w:rsid w:val="00F83D88"/>
    <w:rsid w:val="00F85145"/>
    <w:rsid w:val="00F854E3"/>
    <w:rsid w:val="00F855E2"/>
    <w:rsid w:val="00F8583A"/>
    <w:rsid w:val="00F858EB"/>
    <w:rsid w:val="00F85A34"/>
    <w:rsid w:val="00F86C48"/>
    <w:rsid w:val="00F87083"/>
    <w:rsid w:val="00F8713C"/>
    <w:rsid w:val="00F87D57"/>
    <w:rsid w:val="00F90421"/>
    <w:rsid w:val="00F90D34"/>
    <w:rsid w:val="00F90D61"/>
    <w:rsid w:val="00F91977"/>
    <w:rsid w:val="00F919D7"/>
    <w:rsid w:val="00F91A42"/>
    <w:rsid w:val="00F91D48"/>
    <w:rsid w:val="00F922DF"/>
    <w:rsid w:val="00F92C57"/>
    <w:rsid w:val="00F92C67"/>
    <w:rsid w:val="00F93692"/>
    <w:rsid w:val="00F939FF"/>
    <w:rsid w:val="00F93B97"/>
    <w:rsid w:val="00F93E60"/>
    <w:rsid w:val="00F941A9"/>
    <w:rsid w:val="00F944DB"/>
    <w:rsid w:val="00F94DAC"/>
    <w:rsid w:val="00F94F5D"/>
    <w:rsid w:val="00F94FDC"/>
    <w:rsid w:val="00F952A5"/>
    <w:rsid w:val="00F953B3"/>
    <w:rsid w:val="00F95590"/>
    <w:rsid w:val="00F9581F"/>
    <w:rsid w:val="00F9594A"/>
    <w:rsid w:val="00F95CB2"/>
    <w:rsid w:val="00F96454"/>
    <w:rsid w:val="00F96A46"/>
    <w:rsid w:val="00F96D4B"/>
    <w:rsid w:val="00F977B0"/>
    <w:rsid w:val="00F977EE"/>
    <w:rsid w:val="00F97DF9"/>
    <w:rsid w:val="00FA040F"/>
    <w:rsid w:val="00FA0714"/>
    <w:rsid w:val="00FA0CA0"/>
    <w:rsid w:val="00FA203C"/>
    <w:rsid w:val="00FA2296"/>
    <w:rsid w:val="00FA26D8"/>
    <w:rsid w:val="00FA2764"/>
    <w:rsid w:val="00FA2E8B"/>
    <w:rsid w:val="00FA30A0"/>
    <w:rsid w:val="00FA3ACA"/>
    <w:rsid w:val="00FA3C0C"/>
    <w:rsid w:val="00FA3D52"/>
    <w:rsid w:val="00FA3DFC"/>
    <w:rsid w:val="00FA41A9"/>
    <w:rsid w:val="00FA4AB8"/>
    <w:rsid w:val="00FA50E6"/>
    <w:rsid w:val="00FA5508"/>
    <w:rsid w:val="00FA572B"/>
    <w:rsid w:val="00FA5866"/>
    <w:rsid w:val="00FA5C1C"/>
    <w:rsid w:val="00FA5CB2"/>
    <w:rsid w:val="00FA5E45"/>
    <w:rsid w:val="00FA5E47"/>
    <w:rsid w:val="00FA62FC"/>
    <w:rsid w:val="00FA64D2"/>
    <w:rsid w:val="00FA64FB"/>
    <w:rsid w:val="00FA66F6"/>
    <w:rsid w:val="00FA6A66"/>
    <w:rsid w:val="00FA6C47"/>
    <w:rsid w:val="00FA74E0"/>
    <w:rsid w:val="00FA7590"/>
    <w:rsid w:val="00FA7868"/>
    <w:rsid w:val="00FB04B7"/>
    <w:rsid w:val="00FB0A05"/>
    <w:rsid w:val="00FB0AD5"/>
    <w:rsid w:val="00FB0B5A"/>
    <w:rsid w:val="00FB0CC8"/>
    <w:rsid w:val="00FB0DCD"/>
    <w:rsid w:val="00FB0FBC"/>
    <w:rsid w:val="00FB1517"/>
    <w:rsid w:val="00FB182E"/>
    <w:rsid w:val="00FB184A"/>
    <w:rsid w:val="00FB1C8C"/>
    <w:rsid w:val="00FB21E4"/>
    <w:rsid w:val="00FB2295"/>
    <w:rsid w:val="00FB311C"/>
    <w:rsid w:val="00FB3164"/>
    <w:rsid w:val="00FB446A"/>
    <w:rsid w:val="00FB4541"/>
    <w:rsid w:val="00FB4A37"/>
    <w:rsid w:val="00FB4D6F"/>
    <w:rsid w:val="00FB5074"/>
    <w:rsid w:val="00FB538E"/>
    <w:rsid w:val="00FB595C"/>
    <w:rsid w:val="00FB5E29"/>
    <w:rsid w:val="00FB68D0"/>
    <w:rsid w:val="00FB6A7E"/>
    <w:rsid w:val="00FB6C1E"/>
    <w:rsid w:val="00FB6C5D"/>
    <w:rsid w:val="00FB6DC0"/>
    <w:rsid w:val="00FB6DD1"/>
    <w:rsid w:val="00FB7010"/>
    <w:rsid w:val="00FB76BE"/>
    <w:rsid w:val="00FB78F5"/>
    <w:rsid w:val="00FB7A11"/>
    <w:rsid w:val="00FB7A8F"/>
    <w:rsid w:val="00FC00E6"/>
    <w:rsid w:val="00FC0D54"/>
    <w:rsid w:val="00FC0E40"/>
    <w:rsid w:val="00FC12F8"/>
    <w:rsid w:val="00FC13CD"/>
    <w:rsid w:val="00FC1BD1"/>
    <w:rsid w:val="00FC239A"/>
    <w:rsid w:val="00FC2CE2"/>
    <w:rsid w:val="00FC480F"/>
    <w:rsid w:val="00FC4DB2"/>
    <w:rsid w:val="00FC4F25"/>
    <w:rsid w:val="00FC52B3"/>
    <w:rsid w:val="00FC5310"/>
    <w:rsid w:val="00FC5897"/>
    <w:rsid w:val="00FC6196"/>
    <w:rsid w:val="00FC65CB"/>
    <w:rsid w:val="00FC69A6"/>
    <w:rsid w:val="00FC6B8A"/>
    <w:rsid w:val="00FC6F31"/>
    <w:rsid w:val="00FC6F74"/>
    <w:rsid w:val="00FC7158"/>
    <w:rsid w:val="00FD01AC"/>
    <w:rsid w:val="00FD1288"/>
    <w:rsid w:val="00FD151B"/>
    <w:rsid w:val="00FD17C0"/>
    <w:rsid w:val="00FD1AC8"/>
    <w:rsid w:val="00FD1C48"/>
    <w:rsid w:val="00FD22B8"/>
    <w:rsid w:val="00FD2472"/>
    <w:rsid w:val="00FD2CB2"/>
    <w:rsid w:val="00FD3F0A"/>
    <w:rsid w:val="00FD3FB7"/>
    <w:rsid w:val="00FD453A"/>
    <w:rsid w:val="00FD4913"/>
    <w:rsid w:val="00FD4F5B"/>
    <w:rsid w:val="00FD4FF8"/>
    <w:rsid w:val="00FD5545"/>
    <w:rsid w:val="00FD55A0"/>
    <w:rsid w:val="00FD5871"/>
    <w:rsid w:val="00FD58C3"/>
    <w:rsid w:val="00FD5C86"/>
    <w:rsid w:val="00FD657C"/>
    <w:rsid w:val="00FD6843"/>
    <w:rsid w:val="00FD7336"/>
    <w:rsid w:val="00FD734D"/>
    <w:rsid w:val="00FD7583"/>
    <w:rsid w:val="00FD7660"/>
    <w:rsid w:val="00FD7B49"/>
    <w:rsid w:val="00FD7B6D"/>
    <w:rsid w:val="00FE04AC"/>
    <w:rsid w:val="00FE0AEC"/>
    <w:rsid w:val="00FE0DF3"/>
    <w:rsid w:val="00FE18A3"/>
    <w:rsid w:val="00FE1971"/>
    <w:rsid w:val="00FE19EF"/>
    <w:rsid w:val="00FE1A0A"/>
    <w:rsid w:val="00FE1B29"/>
    <w:rsid w:val="00FE22B1"/>
    <w:rsid w:val="00FE2BB9"/>
    <w:rsid w:val="00FE3B77"/>
    <w:rsid w:val="00FE3FC2"/>
    <w:rsid w:val="00FE41E1"/>
    <w:rsid w:val="00FE4769"/>
    <w:rsid w:val="00FE5388"/>
    <w:rsid w:val="00FE574A"/>
    <w:rsid w:val="00FE5DCC"/>
    <w:rsid w:val="00FE6265"/>
    <w:rsid w:val="00FE658E"/>
    <w:rsid w:val="00FE6C7B"/>
    <w:rsid w:val="00FE6DC6"/>
    <w:rsid w:val="00FE7852"/>
    <w:rsid w:val="00FE7C3D"/>
    <w:rsid w:val="00FF0573"/>
    <w:rsid w:val="00FF0DD0"/>
    <w:rsid w:val="00FF2931"/>
    <w:rsid w:val="00FF2B11"/>
    <w:rsid w:val="00FF2B94"/>
    <w:rsid w:val="00FF3122"/>
    <w:rsid w:val="00FF328F"/>
    <w:rsid w:val="00FF3A62"/>
    <w:rsid w:val="00FF3BCB"/>
    <w:rsid w:val="00FF4999"/>
    <w:rsid w:val="00FF4A3A"/>
    <w:rsid w:val="00FF4BAF"/>
    <w:rsid w:val="00FF5813"/>
    <w:rsid w:val="00FF5822"/>
    <w:rsid w:val="00FF6DF7"/>
    <w:rsid w:val="00FF7203"/>
    <w:rsid w:val="00FF7741"/>
    <w:rsid w:val="00FF7A88"/>
    <w:rsid w:val="00FF7EC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2496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footnote text" w:uiPriority="0"/>
    <w:lsdException w:name="annotation text" w:uiPriority="0"/>
    <w:lsdException w:name="caption" w:locked="1" w:uiPriority="0" w:qFormat="1"/>
    <w:lsdException w:name="Title" w:locked="1" w:semiHidden="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636CE"/>
    <w:pPr>
      <w:spacing w:after="120" w:line="264" w:lineRule="auto"/>
      <w:jc w:val="both"/>
    </w:pPr>
    <w:rPr>
      <w:rFonts w:ascii="Trebuchet MS" w:hAnsi="Trebuchet MS" w:cs="Trebuchet MS"/>
      <w:sz w:val="22"/>
      <w:szCs w:val="22"/>
    </w:rPr>
  </w:style>
  <w:style w:type="paragraph" w:styleId="Titre1">
    <w:name w:val="heading 1"/>
    <w:basedOn w:val="Normal"/>
    <w:next w:val="Normal"/>
    <w:link w:val="Titre1Car2"/>
    <w:uiPriority w:val="99"/>
    <w:qFormat/>
    <w:rsid w:val="002636CE"/>
    <w:pPr>
      <w:keepNext/>
      <w:spacing w:before="240"/>
      <w:outlineLvl w:val="0"/>
    </w:pPr>
    <w:rPr>
      <w:b/>
      <w:bCs/>
      <w:caps/>
      <w:kern w:val="28"/>
      <w:sz w:val="28"/>
      <w:szCs w:val="28"/>
    </w:rPr>
  </w:style>
  <w:style w:type="paragraph" w:styleId="Titre2">
    <w:name w:val="heading 2"/>
    <w:basedOn w:val="Normal"/>
    <w:next w:val="Normal"/>
    <w:link w:val="Titre2Car"/>
    <w:qFormat/>
    <w:rsid w:val="002636CE"/>
    <w:pPr>
      <w:keepNext/>
      <w:spacing w:before="240" w:after="60"/>
      <w:outlineLvl w:val="1"/>
    </w:pPr>
    <w:rPr>
      <w:caps/>
      <w:sz w:val="24"/>
      <w:szCs w:val="24"/>
    </w:rPr>
  </w:style>
  <w:style w:type="paragraph" w:styleId="Titre3">
    <w:name w:val="heading 3"/>
    <w:basedOn w:val="Normal"/>
    <w:next w:val="Normal"/>
    <w:link w:val="Titre3Car"/>
    <w:uiPriority w:val="99"/>
    <w:qFormat/>
    <w:rsid w:val="002636CE"/>
    <w:pPr>
      <w:keepNext/>
      <w:spacing w:before="120" w:after="60"/>
      <w:outlineLvl w:val="2"/>
    </w:pPr>
    <w:rPr>
      <w:b/>
      <w:bCs/>
    </w:rPr>
  </w:style>
  <w:style w:type="paragraph" w:styleId="Titre4">
    <w:name w:val="heading 4"/>
    <w:basedOn w:val="Normal"/>
    <w:next w:val="Normal"/>
    <w:link w:val="Titre4Car1"/>
    <w:uiPriority w:val="99"/>
    <w:qFormat/>
    <w:rsid w:val="002636CE"/>
    <w:pPr>
      <w:keepNext/>
      <w:spacing w:before="120" w:line="288" w:lineRule="auto"/>
      <w:outlineLvl w:val="3"/>
    </w:pPr>
    <w:rPr>
      <w:u w:val="single"/>
    </w:rPr>
  </w:style>
  <w:style w:type="paragraph" w:styleId="Titre5">
    <w:name w:val="heading 5"/>
    <w:basedOn w:val="Normal"/>
    <w:next w:val="Normal"/>
    <w:link w:val="Titre5Car"/>
    <w:uiPriority w:val="99"/>
    <w:qFormat/>
    <w:rsid w:val="002636CE"/>
    <w:pPr>
      <w:keepNext/>
      <w:ind w:right="-568"/>
      <w:outlineLvl w:val="4"/>
    </w:pPr>
    <w:rPr>
      <w:b/>
      <w:bCs/>
      <w:sz w:val="28"/>
      <w:szCs w:val="28"/>
    </w:rPr>
  </w:style>
  <w:style w:type="paragraph" w:styleId="Titre6">
    <w:name w:val="heading 6"/>
    <w:basedOn w:val="Normal"/>
    <w:next w:val="Normal"/>
    <w:link w:val="Titre6Car"/>
    <w:uiPriority w:val="99"/>
    <w:qFormat/>
    <w:rsid w:val="002636CE"/>
    <w:pPr>
      <w:keepNext/>
      <w:spacing w:after="60"/>
      <w:ind w:left="-284" w:right="-568"/>
      <w:outlineLvl w:val="5"/>
    </w:pPr>
    <w:rPr>
      <w:b/>
      <w:bCs/>
      <w:sz w:val="28"/>
      <w:szCs w:val="28"/>
    </w:rPr>
  </w:style>
  <w:style w:type="paragraph" w:styleId="Titre7">
    <w:name w:val="heading 7"/>
    <w:basedOn w:val="Normal"/>
    <w:next w:val="Normal"/>
    <w:link w:val="Titre7Car"/>
    <w:uiPriority w:val="99"/>
    <w:qFormat/>
    <w:rsid w:val="002636CE"/>
    <w:pPr>
      <w:spacing w:before="240" w:after="60"/>
      <w:outlineLvl w:val="6"/>
    </w:pPr>
    <w:rPr>
      <w:rFonts w:ascii="Times New Roman" w:hAnsi="Times New Roman" w:cs="Times New Roman"/>
      <w:sz w:val="24"/>
      <w:szCs w:val="24"/>
    </w:rPr>
  </w:style>
  <w:style w:type="paragraph" w:styleId="Titre8">
    <w:name w:val="heading 8"/>
    <w:basedOn w:val="Normal"/>
    <w:next w:val="Normal"/>
    <w:link w:val="Titre8Car"/>
    <w:uiPriority w:val="99"/>
    <w:qFormat/>
    <w:rsid w:val="002636CE"/>
    <w:pPr>
      <w:keepNext/>
      <w:jc w:val="center"/>
      <w:outlineLvl w:val="7"/>
    </w:pPr>
    <w:rPr>
      <w:rFonts w:ascii="Times New Roman" w:hAnsi="Times New Roman" w:cs="Times New Roman"/>
      <w:color w:val="0000FF"/>
      <w:sz w:val="24"/>
      <w:szCs w:val="24"/>
    </w:rPr>
  </w:style>
  <w:style w:type="paragraph" w:styleId="Titre9">
    <w:name w:val="heading 9"/>
    <w:basedOn w:val="Normal"/>
    <w:next w:val="Normal"/>
    <w:link w:val="Titre9Car"/>
    <w:uiPriority w:val="99"/>
    <w:qFormat/>
    <w:rsid w:val="002636CE"/>
    <w:pPr>
      <w:keepNext/>
      <w:outlineLvl w:val="8"/>
    </w:pPr>
    <w:rPr>
      <w:rFonts w:ascii="Tahoma" w:hAnsi="Tahoma" w:cs="Tahoma"/>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2">
    <w:name w:val="Titre 1 Car2"/>
    <w:basedOn w:val="Policepardfaut"/>
    <w:link w:val="Titre1"/>
    <w:uiPriority w:val="99"/>
    <w:rsid w:val="00696DDF"/>
    <w:rPr>
      <w:rFonts w:ascii="Cambria" w:eastAsia="Times New Roman" w:hAnsi="Cambria" w:cs="Times New Roman"/>
      <w:b/>
      <w:bCs/>
      <w:kern w:val="32"/>
      <w:sz w:val="32"/>
      <w:szCs w:val="32"/>
    </w:rPr>
  </w:style>
  <w:style w:type="character" w:customStyle="1" w:styleId="Titre2Car">
    <w:name w:val="Titre 2 Car"/>
    <w:basedOn w:val="Policepardfaut"/>
    <w:link w:val="Titre2"/>
    <w:rsid w:val="00696DDF"/>
    <w:rPr>
      <w:rFonts w:ascii="Cambria" w:eastAsia="Times New Roman" w:hAnsi="Cambria" w:cs="Times New Roman"/>
      <w:b/>
      <w:bCs/>
      <w:i/>
      <w:iCs/>
      <w:sz w:val="28"/>
      <w:szCs w:val="28"/>
    </w:rPr>
  </w:style>
  <w:style w:type="character" w:customStyle="1" w:styleId="Titre3Car">
    <w:name w:val="Titre 3 Car"/>
    <w:basedOn w:val="Policepardfaut"/>
    <w:link w:val="Titre3"/>
    <w:uiPriority w:val="99"/>
    <w:locked/>
    <w:rsid w:val="00BC7221"/>
    <w:rPr>
      <w:rFonts w:ascii="Trebuchet MS" w:hAnsi="Trebuchet MS" w:cs="Trebuchet MS"/>
      <w:b/>
      <w:bCs/>
      <w:sz w:val="22"/>
      <w:szCs w:val="22"/>
      <w:lang w:val="fr-FR" w:eastAsia="fr-FR"/>
    </w:rPr>
  </w:style>
  <w:style w:type="character" w:customStyle="1" w:styleId="Titre4Car1">
    <w:name w:val="Titre 4 Car1"/>
    <w:basedOn w:val="Policepardfaut"/>
    <w:link w:val="Titre4"/>
    <w:uiPriority w:val="9"/>
    <w:semiHidden/>
    <w:rsid w:val="00696DDF"/>
    <w:rPr>
      <w:rFonts w:ascii="Calibri" w:eastAsia="Times New Roman" w:hAnsi="Calibri" w:cs="Arial"/>
      <w:b/>
      <w:bCs/>
      <w:sz w:val="28"/>
      <w:szCs w:val="28"/>
    </w:rPr>
  </w:style>
  <w:style w:type="character" w:customStyle="1" w:styleId="Titre5Car">
    <w:name w:val="Titre 5 Car"/>
    <w:basedOn w:val="Policepardfaut"/>
    <w:link w:val="Titre5"/>
    <w:uiPriority w:val="9"/>
    <w:semiHidden/>
    <w:rsid w:val="00696DDF"/>
    <w:rPr>
      <w:rFonts w:ascii="Calibri" w:eastAsia="Times New Roman" w:hAnsi="Calibri" w:cs="Arial"/>
      <w:b/>
      <w:bCs/>
      <w:i/>
      <w:iCs/>
      <w:sz w:val="26"/>
      <w:szCs w:val="26"/>
    </w:rPr>
  </w:style>
  <w:style w:type="character" w:customStyle="1" w:styleId="Titre6Car">
    <w:name w:val="Titre 6 Car"/>
    <w:basedOn w:val="Policepardfaut"/>
    <w:link w:val="Titre6"/>
    <w:uiPriority w:val="9"/>
    <w:semiHidden/>
    <w:rsid w:val="00696DDF"/>
    <w:rPr>
      <w:rFonts w:ascii="Calibri" w:eastAsia="Times New Roman" w:hAnsi="Calibri" w:cs="Arial"/>
      <w:b/>
      <w:bCs/>
    </w:rPr>
  </w:style>
  <w:style w:type="character" w:customStyle="1" w:styleId="Titre7Car">
    <w:name w:val="Titre 7 Car"/>
    <w:basedOn w:val="Policepardfaut"/>
    <w:link w:val="Titre7"/>
    <w:uiPriority w:val="9"/>
    <w:semiHidden/>
    <w:rsid w:val="00696DDF"/>
    <w:rPr>
      <w:rFonts w:ascii="Calibri" w:eastAsia="Times New Roman" w:hAnsi="Calibri" w:cs="Arial"/>
      <w:sz w:val="24"/>
      <w:szCs w:val="24"/>
    </w:rPr>
  </w:style>
  <w:style w:type="character" w:customStyle="1" w:styleId="Titre8Car">
    <w:name w:val="Titre 8 Car"/>
    <w:basedOn w:val="Policepardfaut"/>
    <w:link w:val="Titre8"/>
    <w:uiPriority w:val="9"/>
    <w:semiHidden/>
    <w:rsid w:val="00696DDF"/>
    <w:rPr>
      <w:rFonts w:ascii="Calibri" w:eastAsia="Times New Roman" w:hAnsi="Calibri" w:cs="Arial"/>
      <w:i/>
      <w:iCs/>
      <w:sz w:val="24"/>
      <w:szCs w:val="24"/>
    </w:rPr>
  </w:style>
  <w:style w:type="character" w:customStyle="1" w:styleId="Titre9Car">
    <w:name w:val="Titre 9 Car"/>
    <w:basedOn w:val="Policepardfaut"/>
    <w:link w:val="Titre9"/>
    <w:uiPriority w:val="9"/>
    <w:semiHidden/>
    <w:rsid w:val="00696DDF"/>
    <w:rPr>
      <w:rFonts w:ascii="Cambria" w:eastAsia="Times New Roman" w:hAnsi="Cambria" w:cs="Times New Roman"/>
    </w:rPr>
  </w:style>
  <w:style w:type="paragraph" w:styleId="Textedebulles">
    <w:name w:val="Balloon Text"/>
    <w:basedOn w:val="Normal"/>
    <w:link w:val="TextedebullesCar"/>
    <w:uiPriority w:val="99"/>
    <w:semiHidden/>
    <w:rsid w:val="008677A5"/>
    <w:rPr>
      <w:rFonts w:ascii="Tahoma" w:hAnsi="Tahoma" w:cs="Tahoma"/>
      <w:sz w:val="16"/>
      <w:szCs w:val="16"/>
    </w:rPr>
  </w:style>
  <w:style w:type="character" w:customStyle="1" w:styleId="TextedebullesCar">
    <w:name w:val="Texte de bulles Car"/>
    <w:basedOn w:val="Policepardfaut"/>
    <w:link w:val="Textedebulles"/>
    <w:uiPriority w:val="99"/>
    <w:semiHidden/>
    <w:rsid w:val="00696DDF"/>
    <w:rPr>
      <w:sz w:val="0"/>
      <w:szCs w:val="0"/>
    </w:rPr>
  </w:style>
  <w:style w:type="paragraph" w:styleId="Corpsdetexte2">
    <w:name w:val="Body Text 2"/>
    <w:basedOn w:val="Normal"/>
    <w:link w:val="Corpsdetexte2Car"/>
    <w:uiPriority w:val="99"/>
    <w:rsid w:val="002636CE"/>
    <w:pPr>
      <w:spacing w:before="120" w:line="288" w:lineRule="auto"/>
    </w:pPr>
    <w:rPr>
      <w:rFonts w:ascii="Verdana" w:hAnsi="Verdana" w:cs="Verdana"/>
      <w:sz w:val="23"/>
      <w:szCs w:val="23"/>
    </w:rPr>
  </w:style>
  <w:style w:type="character" w:customStyle="1" w:styleId="Corpsdetexte2Car">
    <w:name w:val="Corps de texte 2 Car"/>
    <w:basedOn w:val="Policepardfaut"/>
    <w:link w:val="Corpsdetexte2"/>
    <w:uiPriority w:val="99"/>
    <w:rsid w:val="00696DDF"/>
    <w:rPr>
      <w:rFonts w:ascii="Trebuchet MS" w:hAnsi="Trebuchet MS" w:cs="Trebuchet MS"/>
    </w:rPr>
  </w:style>
  <w:style w:type="paragraph" w:styleId="Corpsdetexte">
    <w:name w:val="Body Text"/>
    <w:basedOn w:val="Normal"/>
    <w:link w:val="CorpsdetexteCar"/>
    <w:uiPriority w:val="99"/>
    <w:rsid w:val="002636CE"/>
    <w:rPr>
      <w:b/>
      <w:bCs/>
      <w:sz w:val="28"/>
      <w:szCs w:val="28"/>
    </w:rPr>
  </w:style>
  <w:style w:type="character" w:customStyle="1" w:styleId="CorpsdetexteCar">
    <w:name w:val="Corps de texte Car"/>
    <w:basedOn w:val="Policepardfaut"/>
    <w:link w:val="Corpsdetexte"/>
    <w:uiPriority w:val="99"/>
    <w:semiHidden/>
    <w:rsid w:val="00696DDF"/>
    <w:rPr>
      <w:rFonts w:ascii="Trebuchet MS" w:hAnsi="Trebuchet MS" w:cs="Trebuchet MS"/>
    </w:rPr>
  </w:style>
  <w:style w:type="paragraph" w:styleId="Explorateurdedocuments">
    <w:name w:val="Document Map"/>
    <w:basedOn w:val="Normal"/>
    <w:link w:val="ExplorateurdedocumentsCar"/>
    <w:uiPriority w:val="99"/>
    <w:semiHidden/>
    <w:rsid w:val="002636CE"/>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rsid w:val="00696DDF"/>
    <w:rPr>
      <w:sz w:val="0"/>
      <w:szCs w:val="0"/>
    </w:rPr>
  </w:style>
  <w:style w:type="character" w:styleId="Marquedecommentaire">
    <w:name w:val="annotation reference"/>
    <w:basedOn w:val="Policepardfaut"/>
    <w:uiPriority w:val="99"/>
    <w:semiHidden/>
    <w:rsid w:val="002636CE"/>
    <w:rPr>
      <w:sz w:val="16"/>
      <w:szCs w:val="16"/>
    </w:rPr>
  </w:style>
  <w:style w:type="paragraph" w:styleId="Commentaire">
    <w:name w:val="annotation text"/>
    <w:basedOn w:val="Normal"/>
    <w:link w:val="CommentaireCar"/>
    <w:semiHidden/>
    <w:rsid w:val="002636CE"/>
  </w:style>
  <w:style w:type="character" w:customStyle="1" w:styleId="CommentTextChar">
    <w:name w:val="Comment Text Char"/>
    <w:basedOn w:val="Policepardfaut"/>
    <w:link w:val="Commentaire"/>
    <w:uiPriority w:val="99"/>
    <w:semiHidden/>
    <w:locked/>
    <w:rsid w:val="002636CE"/>
    <w:rPr>
      <w:rFonts w:ascii="Times New Roman" w:hAnsi="Times New Roman" w:cs="Times New Roman"/>
      <w:sz w:val="20"/>
      <w:szCs w:val="20"/>
      <w:lang w:eastAsia="fr-FR"/>
    </w:rPr>
  </w:style>
  <w:style w:type="paragraph" w:styleId="TM1">
    <w:name w:val="toc 1"/>
    <w:basedOn w:val="Normal"/>
    <w:next w:val="Normal"/>
    <w:autoRedefine/>
    <w:uiPriority w:val="39"/>
    <w:rsid w:val="002636CE"/>
    <w:pPr>
      <w:spacing w:before="120"/>
      <w:jc w:val="left"/>
    </w:pPr>
    <w:rPr>
      <w:rFonts w:ascii="Times New Roman" w:hAnsi="Times New Roman" w:cs="Times New Roman"/>
      <w:b/>
      <w:bCs/>
      <w:caps/>
      <w:sz w:val="20"/>
      <w:szCs w:val="20"/>
    </w:rPr>
  </w:style>
  <w:style w:type="paragraph" w:styleId="TM2">
    <w:name w:val="toc 2"/>
    <w:basedOn w:val="Normal"/>
    <w:autoRedefine/>
    <w:uiPriority w:val="39"/>
    <w:rsid w:val="009521FF"/>
    <w:pPr>
      <w:tabs>
        <w:tab w:val="right" w:leader="dot" w:pos="9628"/>
      </w:tabs>
      <w:spacing w:after="0"/>
      <w:ind w:left="567"/>
      <w:jc w:val="left"/>
    </w:pPr>
    <w:rPr>
      <w:rFonts w:ascii="Times New Roman" w:hAnsi="Times New Roman" w:cs="Times New Roman"/>
      <w:b/>
      <w:smallCaps/>
      <w:noProof/>
      <w:sz w:val="24"/>
      <w:szCs w:val="20"/>
    </w:rPr>
  </w:style>
  <w:style w:type="paragraph" w:styleId="TM3">
    <w:name w:val="toc 3"/>
    <w:basedOn w:val="TM2"/>
    <w:next w:val="TM4"/>
    <w:autoRedefine/>
    <w:uiPriority w:val="39"/>
    <w:rsid w:val="008141FA"/>
    <w:pPr>
      <w:tabs>
        <w:tab w:val="clear" w:pos="9628"/>
        <w:tab w:val="right" w:leader="dot" w:pos="9639"/>
      </w:tabs>
    </w:pPr>
    <w:rPr>
      <w:i/>
      <w:iCs/>
      <w:smallCaps w:val="0"/>
    </w:rPr>
  </w:style>
  <w:style w:type="paragraph" w:styleId="TM4">
    <w:name w:val="toc 4"/>
    <w:basedOn w:val="TM3"/>
    <w:next w:val="TM5"/>
    <w:autoRedefine/>
    <w:uiPriority w:val="39"/>
    <w:rsid w:val="001E1387"/>
    <w:rPr>
      <w:sz w:val="18"/>
      <w:szCs w:val="18"/>
    </w:rPr>
  </w:style>
  <w:style w:type="paragraph" w:styleId="TM5">
    <w:name w:val="toc 5"/>
    <w:basedOn w:val="Normal"/>
    <w:next w:val="Normal"/>
    <w:autoRedefine/>
    <w:uiPriority w:val="99"/>
    <w:semiHidden/>
    <w:rsid w:val="002636CE"/>
    <w:pPr>
      <w:spacing w:after="0"/>
      <w:ind w:left="880"/>
      <w:jc w:val="left"/>
    </w:pPr>
    <w:rPr>
      <w:rFonts w:ascii="Times New Roman" w:hAnsi="Times New Roman" w:cs="Times New Roman"/>
      <w:sz w:val="18"/>
      <w:szCs w:val="18"/>
    </w:rPr>
  </w:style>
  <w:style w:type="paragraph" w:styleId="TM6">
    <w:name w:val="toc 6"/>
    <w:basedOn w:val="Normal"/>
    <w:next w:val="Normal"/>
    <w:autoRedefine/>
    <w:uiPriority w:val="99"/>
    <w:semiHidden/>
    <w:rsid w:val="002636CE"/>
    <w:pPr>
      <w:spacing w:after="0"/>
      <w:ind w:left="1100"/>
      <w:jc w:val="left"/>
    </w:pPr>
    <w:rPr>
      <w:rFonts w:ascii="Times New Roman" w:hAnsi="Times New Roman" w:cs="Times New Roman"/>
      <w:sz w:val="18"/>
      <w:szCs w:val="18"/>
    </w:rPr>
  </w:style>
  <w:style w:type="paragraph" w:styleId="TM7">
    <w:name w:val="toc 7"/>
    <w:basedOn w:val="Normal"/>
    <w:next w:val="Normal"/>
    <w:autoRedefine/>
    <w:uiPriority w:val="99"/>
    <w:semiHidden/>
    <w:rsid w:val="002636CE"/>
    <w:pPr>
      <w:spacing w:after="0"/>
      <w:ind w:left="1320"/>
      <w:jc w:val="left"/>
    </w:pPr>
    <w:rPr>
      <w:rFonts w:ascii="Times New Roman" w:hAnsi="Times New Roman" w:cs="Times New Roman"/>
      <w:sz w:val="18"/>
      <w:szCs w:val="18"/>
    </w:rPr>
  </w:style>
  <w:style w:type="paragraph" w:styleId="TM8">
    <w:name w:val="toc 8"/>
    <w:basedOn w:val="Normal"/>
    <w:next w:val="Normal"/>
    <w:autoRedefine/>
    <w:uiPriority w:val="99"/>
    <w:semiHidden/>
    <w:rsid w:val="002636CE"/>
    <w:pPr>
      <w:spacing w:after="0"/>
      <w:ind w:left="1540"/>
      <w:jc w:val="left"/>
    </w:pPr>
    <w:rPr>
      <w:rFonts w:ascii="Times New Roman" w:hAnsi="Times New Roman" w:cs="Times New Roman"/>
      <w:sz w:val="18"/>
      <w:szCs w:val="18"/>
    </w:rPr>
  </w:style>
  <w:style w:type="paragraph" w:styleId="TM9">
    <w:name w:val="toc 9"/>
    <w:basedOn w:val="Normal"/>
    <w:next w:val="Normal"/>
    <w:autoRedefine/>
    <w:uiPriority w:val="99"/>
    <w:semiHidden/>
    <w:rsid w:val="002636CE"/>
    <w:pPr>
      <w:spacing w:after="0"/>
      <w:ind w:left="1760"/>
      <w:jc w:val="left"/>
    </w:pPr>
    <w:rPr>
      <w:rFonts w:ascii="Times New Roman" w:hAnsi="Times New Roman" w:cs="Times New Roman"/>
      <w:sz w:val="18"/>
      <w:szCs w:val="18"/>
    </w:rPr>
  </w:style>
  <w:style w:type="character" w:styleId="Lienhypertexte">
    <w:name w:val="Hyperlink"/>
    <w:basedOn w:val="Policepardfaut"/>
    <w:uiPriority w:val="99"/>
    <w:rsid w:val="002636CE"/>
    <w:rPr>
      <w:color w:val="0000FF"/>
      <w:u w:val="single"/>
    </w:rPr>
  </w:style>
  <w:style w:type="paragraph" w:customStyle="1" w:styleId="puce-1">
    <w:name w:val="puce-1"/>
    <w:basedOn w:val="Titre4"/>
    <w:uiPriority w:val="99"/>
    <w:rsid w:val="002636CE"/>
    <w:pPr>
      <w:numPr>
        <w:ilvl w:val="1"/>
        <w:numId w:val="1"/>
      </w:numPr>
    </w:pPr>
    <w:rPr>
      <w:sz w:val="23"/>
      <w:szCs w:val="23"/>
      <w:u w:val="none"/>
    </w:rPr>
  </w:style>
  <w:style w:type="character" w:styleId="Lienhypertextesuivivisit">
    <w:name w:val="FollowedHyperlink"/>
    <w:basedOn w:val="Policepardfaut"/>
    <w:uiPriority w:val="99"/>
    <w:rsid w:val="002636CE"/>
    <w:rPr>
      <w:color w:val="800080"/>
      <w:u w:val="single"/>
    </w:rPr>
  </w:style>
  <w:style w:type="paragraph" w:styleId="Pieddepage">
    <w:name w:val="footer"/>
    <w:basedOn w:val="Normal"/>
    <w:link w:val="PieddepageCar"/>
    <w:uiPriority w:val="99"/>
    <w:rsid w:val="002636CE"/>
    <w:pPr>
      <w:tabs>
        <w:tab w:val="center" w:pos="4536"/>
        <w:tab w:val="right" w:pos="9072"/>
      </w:tabs>
      <w:ind w:right="360"/>
    </w:pPr>
    <w:rPr>
      <w:rFonts w:ascii="Verdana" w:hAnsi="Verdana" w:cs="Verdana"/>
      <w:i/>
      <w:iCs/>
      <w:sz w:val="16"/>
      <w:szCs w:val="16"/>
    </w:rPr>
  </w:style>
  <w:style w:type="character" w:customStyle="1" w:styleId="PieddepageCar">
    <w:name w:val="Pied de page Car"/>
    <w:basedOn w:val="Policepardfaut"/>
    <w:link w:val="Pieddepage"/>
    <w:uiPriority w:val="99"/>
    <w:semiHidden/>
    <w:rsid w:val="00696DDF"/>
    <w:rPr>
      <w:rFonts w:ascii="Trebuchet MS" w:hAnsi="Trebuchet MS" w:cs="Trebuchet MS"/>
    </w:rPr>
  </w:style>
  <w:style w:type="character" w:styleId="Numrodepage">
    <w:name w:val="page number"/>
    <w:basedOn w:val="Policepardfaut"/>
    <w:uiPriority w:val="99"/>
    <w:rsid w:val="002636CE"/>
  </w:style>
  <w:style w:type="paragraph" w:styleId="En-tte">
    <w:name w:val="header"/>
    <w:basedOn w:val="Normal"/>
    <w:link w:val="En-tteCar"/>
    <w:uiPriority w:val="99"/>
    <w:rsid w:val="002636CE"/>
    <w:pPr>
      <w:tabs>
        <w:tab w:val="center" w:pos="4536"/>
        <w:tab w:val="right" w:pos="9072"/>
      </w:tabs>
    </w:pPr>
  </w:style>
  <w:style w:type="character" w:customStyle="1" w:styleId="En-tteCar">
    <w:name w:val="En-tête Car"/>
    <w:basedOn w:val="Policepardfaut"/>
    <w:link w:val="En-tte"/>
    <w:uiPriority w:val="99"/>
    <w:semiHidden/>
    <w:rsid w:val="00696DDF"/>
    <w:rPr>
      <w:rFonts w:ascii="Trebuchet MS" w:hAnsi="Trebuchet MS" w:cs="Trebuchet MS"/>
    </w:rPr>
  </w:style>
  <w:style w:type="paragraph" w:customStyle="1" w:styleId="puce-2">
    <w:name w:val="puce-2"/>
    <w:basedOn w:val="Normal"/>
    <w:uiPriority w:val="99"/>
    <w:rsid w:val="002636CE"/>
    <w:pPr>
      <w:numPr>
        <w:numId w:val="2"/>
      </w:numPr>
    </w:pPr>
  </w:style>
  <w:style w:type="paragraph" w:styleId="Notedebasdepage">
    <w:name w:val="footnote text"/>
    <w:basedOn w:val="Normal"/>
    <w:link w:val="NotedebasdepageCar"/>
    <w:semiHidden/>
    <w:rsid w:val="002636CE"/>
    <w:pPr>
      <w:spacing w:before="60" w:after="60"/>
      <w:ind w:left="142" w:hanging="142"/>
    </w:pPr>
    <w:rPr>
      <w:sz w:val="14"/>
      <w:szCs w:val="14"/>
    </w:rPr>
  </w:style>
  <w:style w:type="character" w:customStyle="1" w:styleId="NotedebasdepageCar">
    <w:name w:val="Note de bas de page Car"/>
    <w:basedOn w:val="Policepardfaut"/>
    <w:link w:val="Notedebasdepage"/>
    <w:semiHidden/>
    <w:rsid w:val="00696DDF"/>
    <w:rPr>
      <w:rFonts w:ascii="Trebuchet MS" w:hAnsi="Trebuchet MS" w:cs="Trebuchet MS"/>
      <w:sz w:val="20"/>
      <w:szCs w:val="20"/>
    </w:rPr>
  </w:style>
  <w:style w:type="character" w:styleId="Appelnotedebasdep">
    <w:name w:val="footnote reference"/>
    <w:basedOn w:val="Policepardfaut"/>
    <w:uiPriority w:val="99"/>
    <w:semiHidden/>
    <w:rsid w:val="002636CE"/>
    <w:rPr>
      <w:sz w:val="16"/>
      <w:szCs w:val="16"/>
      <w:vertAlign w:val="superscript"/>
    </w:rPr>
  </w:style>
  <w:style w:type="paragraph" w:styleId="Corpsdetexte3">
    <w:name w:val="Body Text 3"/>
    <w:basedOn w:val="Normal"/>
    <w:link w:val="Corpsdetexte3Car"/>
    <w:uiPriority w:val="99"/>
    <w:rsid w:val="002636CE"/>
    <w:rPr>
      <w:rFonts w:ascii="Verdana" w:hAnsi="Verdana" w:cs="Verdana"/>
      <w:sz w:val="23"/>
      <w:szCs w:val="23"/>
    </w:rPr>
  </w:style>
  <w:style w:type="character" w:customStyle="1" w:styleId="Corpsdetexte3Car">
    <w:name w:val="Corps de texte 3 Car"/>
    <w:basedOn w:val="Policepardfaut"/>
    <w:link w:val="Corpsdetexte3"/>
    <w:uiPriority w:val="99"/>
    <w:semiHidden/>
    <w:rsid w:val="00696DDF"/>
    <w:rPr>
      <w:rFonts w:ascii="Trebuchet MS" w:hAnsi="Trebuchet MS" w:cs="Trebuchet MS"/>
      <w:sz w:val="16"/>
      <w:szCs w:val="16"/>
    </w:rPr>
  </w:style>
  <w:style w:type="character" w:customStyle="1" w:styleId="Titre1Car">
    <w:name w:val="Titre 1 Car"/>
    <w:basedOn w:val="Policepardfaut"/>
    <w:uiPriority w:val="9"/>
    <w:rsid w:val="002636CE"/>
    <w:rPr>
      <w:rFonts w:ascii="Arial" w:hAnsi="Arial" w:cs="Arial"/>
      <w:b/>
      <w:bCs/>
      <w:kern w:val="32"/>
      <w:sz w:val="32"/>
      <w:szCs w:val="32"/>
      <w:lang w:val="fr-FR" w:eastAsia="fr-FR"/>
    </w:rPr>
  </w:style>
  <w:style w:type="paragraph" w:styleId="Titre">
    <w:name w:val="Title"/>
    <w:basedOn w:val="Normal"/>
    <w:link w:val="TitreCar"/>
    <w:uiPriority w:val="99"/>
    <w:qFormat/>
    <w:rsid w:val="002636CE"/>
    <w:pPr>
      <w:spacing w:after="240"/>
      <w:jc w:val="center"/>
    </w:pPr>
    <w:rPr>
      <w:b/>
      <w:bCs/>
      <w:caps/>
      <w:sz w:val="28"/>
      <w:szCs w:val="28"/>
    </w:rPr>
  </w:style>
  <w:style w:type="character" w:customStyle="1" w:styleId="TitreCar">
    <w:name w:val="Titre Car"/>
    <w:basedOn w:val="Policepardfaut"/>
    <w:link w:val="Titre"/>
    <w:uiPriority w:val="99"/>
    <w:rsid w:val="00696DDF"/>
    <w:rPr>
      <w:rFonts w:ascii="Cambria" w:eastAsia="Times New Roman" w:hAnsi="Cambria" w:cs="Times New Roman"/>
      <w:b/>
      <w:bCs/>
      <w:kern w:val="28"/>
      <w:sz w:val="32"/>
      <w:szCs w:val="32"/>
    </w:rPr>
  </w:style>
  <w:style w:type="paragraph" w:styleId="Retraitcorpsdetexte">
    <w:name w:val="Body Text Indent"/>
    <w:basedOn w:val="Normal"/>
    <w:link w:val="RetraitcorpsdetexteCar"/>
    <w:uiPriority w:val="99"/>
    <w:rsid w:val="002636CE"/>
    <w:pPr>
      <w:ind w:left="283"/>
    </w:pPr>
    <w:rPr>
      <w:rFonts w:ascii="Times New Roman" w:hAnsi="Times New Roman" w:cs="Times New Roman"/>
      <w:sz w:val="24"/>
      <w:szCs w:val="24"/>
    </w:rPr>
  </w:style>
  <w:style w:type="character" w:customStyle="1" w:styleId="RetraitcorpsdetexteCar">
    <w:name w:val="Retrait corps de texte Car"/>
    <w:basedOn w:val="Policepardfaut"/>
    <w:link w:val="Retraitcorpsdetexte"/>
    <w:uiPriority w:val="99"/>
    <w:semiHidden/>
    <w:rsid w:val="00696DDF"/>
    <w:rPr>
      <w:rFonts w:ascii="Trebuchet MS" w:hAnsi="Trebuchet MS" w:cs="Trebuchet MS"/>
    </w:rPr>
  </w:style>
  <w:style w:type="paragraph" w:styleId="Index1">
    <w:name w:val="index 1"/>
    <w:basedOn w:val="Normal"/>
    <w:next w:val="Normal"/>
    <w:autoRedefine/>
    <w:uiPriority w:val="99"/>
    <w:semiHidden/>
    <w:rsid w:val="002636CE"/>
    <w:pPr>
      <w:ind w:left="200" w:hanging="200"/>
    </w:pPr>
  </w:style>
  <w:style w:type="paragraph" w:styleId="Index2">
    <w:name w:val="index 2"/>
    <w:basedOn w:val="Normal"/>
    <w:next w:val="Normal"/>
    <w:autoRedefine/>
    <w:uiPriority w:val="99"/>
    <w:semiHidden/>
    <w:rsid w:val="002636CE"/>
    <w:pPr>
      <w:ind w:left="400" w:hanging="200"/>
    </w:pPr>
  </w:style>
  <w:style w:type="paragraph" w:styleId="Index3">
    <w:name w:val="index 3"/>
    <w:basedOn w:val="Normal"/>
    <w:next w:val="Normal"/>
    <w:autoRedefine/>
    <w:uiPriority w:val="99"/>
    <w:semiHidden/>
    <w:rsid w:val="002636CE"/>
    <w:pPr>
      <w:ind w:left="600" w:hanging="200"/>
    </w:pPr>
  </w:style>
  <w:style w:type="paragraph" w:styleId="Index4">
    <w:name w:val="index 4"/>
    <w:basedOn w:val="Normal"/>
    <w:next w:val="Normal"/>
    <w:autoRedefine/>
    <w:uiPriority w:val="99"/>
    <w:semiHidden/>
    <w:rsid w:val="002636CE"/>
    <w:pPr>
      <w:ind w:left="800" w:hanging="200"/>
    </w:pPr>
  </w:style>
  <w:style w:type="paragraph" w:styleId="Index5">
    <w:name w:val="index 5"/>
    <w:basedOn w:val="Normal"/>
    <w:next w:val="Normal"/>
    <w:autoRedefine/>
    <w:uiPriority w:val="99"/>
    <w:semiHidden/>
    <w:rsid w:val="002636CE"/>
    <w:pPr>
      <w:ind w:left="1000" w:hanging="200"/>
    </w:pPr>
  </w:style>
  <w:style w:type="paragraph" w:styleId="Index6">
    <w:name w:val="index 6"/>
    <w:basedOn w:val="Normal"/>
    <w:next w:val="Normal"/>
    <w:autoRedefine/>
    <w:uiPriority w:val="99"/>
    <w:semiHidden/>
    <w:rsid w:val="002636CE"/>
    <w:pPr>
      <w:ind w:left="1200" w:hanging="200"/>
    </w:pPr>
  </w:style>
  <w:style w:type="paragraph" w:styleId="Index7">
    <w:name w:val="index 7"/>
    <w:basedOn w:val="Normal"/>
    <w:next w:val="Normal"/>
    <w:autoRedefine/>
    <w:uiPriority w:val="99"/>
    <w:semiHidden/>
    <w:rsid w:val="002636CE"/>
    <w:pPr>
      <w:ind w:left="1400" w:hanging="200"/>
    </w:pPr>
  </w:style>
  <w:style w:type="paragraph" w:styleId="Index8">
    <w:name w:val="index 8"/>
    <w:basedOn w:val="Normal"/>
    <w:next w:val="Normal"/>
    <w:autoRedefine/>
    <w:uiPriority w:val="99"/>
    <w:semiHidden/>
    <w:rsid w:val="002636CE"/>
    <w:pPr>
      <w:ind w:left="1600" w:hanging="200"/>
    </w:pPr>
  </w:style>
  <w:style w:type="paragraph" w:styleId="Index9">
    <w:name w:val="index 9"/>
    <w:basedOn w:val="Normal"/>
    <w:next w:val="Normal"/>
    <w:autoRedefine/>
    <w:uiPriority w:val="99"/>
    <w:semiHidden/>
    <w:rsid w:val="002636CE"/>
    <w:pPr>
      <w:ind w:left="1800" w:hanging="200"/>
    </w:pPr>
  </w:style>
  <w:style w:type="paragraph" w:styleId="Titreindex">
    <w:name w:val="index heading"/>
    <w:basedOn w:val="Normal"/>
    <w:next w:val="Index1"/>
    <w:uiPriority w:val="99"/>
    <w:semiHidden/>
    <w:rsid w:val="002636CE"/>
  </w:style>
  <w:style w:type="character" w:customStyle="1" w:styleId="Titre4Car">
    <w:name w:val="Titre 4 Car"/>
    <w:basedOn w:val="Policepardfaut"/>
    <w:uiPriority w:val="99"/>
    <w:rsid w:val="002636CE"/>
    <w:rPr>
      <w:rFonts w:ascii="Verdana" w:hAnsi="Verdana" w:cs="Verdana"/>
      <w:sz w:val="24"/>
      <w:szCs w:val="24"/>
      <w:u w:val="single"/>
      <w:lang w:val="fr-FR" w:eastAsia="fr-FR"/>
    </w:rPr>
  </w:style>
  <w:style w:type="character" w:customStyle="1" w:styleId="StyleAppelnotedebasdepComplexeTahoma">
    <w:name w:val="Style Appel note de bas de p. + (Complexe) Tahoma"/>
    <w:basedOn w:val="Appelnotedebasdep"/>
    <w:uiPriority w:val="99"/>
    <w:rsid w:val="002636CE"/>
  </w:style>
  <w:style w:type="paragraph" w:customStyle="1" w:styleId="StyleAppelnotedebasdep">
    <w:name w:val="Style Appel note de bas de p."/>
    <w:basedOn w:val="Normal"/>
    <w:uiPriority w:val="99"/>
    <w:rsid w:val="002636CE"/>
    <w:rPr>
      <w:vertAlign w:val="superscript"/>
    </w:rPr>
  </w:style>
  <w:style w:type="character" w:customStyle="1" w:styleId="StyleAppelnotedebasdepCar">
    <w:name w:val="Style Appel note de bas de p. Car"/>
    <w:basedOn w:val="Policepardfaut"/>
    <w:uiPriority w:val="99"/>
    <w:rsid w:val="002636CE"/>
    <w:rPr>
      <w:rFonts w:ascii="Trebuchet MS" w:hAnsi="Trebuchet MS" w:cs="Trebuchet MS"/>
      <w:sz w:val="22"/>
      <w:szCs w:val="22"/>
      <w:vertAlign w:val="superscript"/>
      <w:lang w:val="fr-FR" w:eastAsia="fr-FR"/>
    </w:rPr>
  </w:style>
  <w:style w:type="paragraph" w:customStyle="1" w:styleId="N">
    <w:name w:val="N"/>
    <w:basedOn w:val="Titre1"/>
    <w:uiPriority w:val="99"/>
    <w:rsid w:val="002636CE"/>
    <w:pPr>
      <w:jc w:val="left"/>
    </w:pPr>
    <w:rPr>
      <w:b w:val="0"/>
      <w:bCs w:val="0"/>
      <w:sz w:val="18"/>
      <w:szCs w:val="18"/>
    </w:rPr>
  </w:style>
  <w:style w:type="character" w:customStyle="1" w:styleId="Titre1Car1">
    <w:name w:val="Titre 1 Car1"/>
    <w:basedOn w:val="Policepardfaut"/>
    <w:uiPriority w:val="99"/>
    <w:rsid w:val="002636CE"/>
    <w:rPr>
      <w:rFonts w:ascii="Trebuchet MS" w:hAnsi="Trebuchet MS" w:cs="Trebuchet MS"/>
      <w:b/>
      <w:bCs/>
      <w:caps/>
      <w:kern w:val="28"/>
      <w:sz w:val="28"/>
      <w:szCs w:val="28"/>
      <w:lang w:val="fr-FR" w:eastAsia="fr-FR"/>
    </w:rPr>
  </w:style>
  <w:style w:type="table" w:styleId="Grilledutableau">
    <w:name w:val="Table Grid"/>
    <w:basedOn w:val="TableauNormal"/>
    <w:uiPriority w:val="99"/>
    <w:rsid w:val="00693057"/>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ir">
    <w:name w:val="Normal+noir"/>
    <w:basedOn w:val="Normal"/>
    <w:link w:val="NormalnoirCar"/>
    <w:uiPriority w:val="99"/>
    <w:rsid w:val="0071521E"/>
  </w:style>
  <w:style w:type="character" w:customStyle="1" w:styleId="NormalnoirCar">
    <w:name w:val="Normal+noir Car"/>
    <w:basedOn w:val="Policepardfaut"/>
    <w:link w:val="Normalnoir"/>
    <w:uiPriority w:val="99"/>
    <w:locked/>
    <w:rsid w:val="0071521E"/>
    <w:rPr>
      <w:rFonts w:ascii="Trebuchet MS" w:hAnsi="Trebuchet MS" w:cs="Trebuchet MS"/>
      <w:sz w:val="22"/>
      <w:szCs w:val="22"/>
      <w:lang w:val="fr-FR" w:eastAsia="fr-FR"/>
    </w:rPr>
  </w:style>
  <w:style w:type="paragraph" w:styleId="Objetducommentaire">
    <w:name w:val="annotation subject"/>
    <w:basedOn w:val="Commentaire"/>
    <w:next w:val="Commentaire"/>
    <w:link w:val="ObjetducommentaireCar"/>
    <w:uiPriority w:val="99"/>
    <w:semiHidden/>
    <w:rsid w:val="009E12E8"/>
    <w:rPr>
      <w:b/>
      <w:bCs/>
      <w:sz w:val="20"/>
      <w:szCs w:val="20"/>
    </w:rPr>
  </w:style>
  <w:style w:type="character" w:customStyle="1" w:styleId="ObjetducommentaireCar">
    <w:name w:val="Objet du commentaire Car"/>
    <w:basedOn w:val="CommentTextChar"/>
    <w:link w:val="Objetducommentaire"/>
    <w:uiPriority w:val="99"/>
    <w:semiHidden/>
    <w:rsid w:val="00696DDF"/>
    <w:rPr>
      <w:rFonts w:ascii="Trebuchet MS" w:hAnsi="Trebuchet MS" w:cs="Trebuchet MS"/>
      <w:b/>
      <w:bCs/>
    </w:rPr>
  </w:style>
  <w:style w:type="paragraph" w:styleId="Sansinterligne">
    <w:name w:val="No Spacing"/>
    <w:uiPriority w:val="99"/>
    <w:qFormat/>
    <w:rsid w:val="0086492B"/>
    <w:rPr>
      <w:rFonts w:ascii="Calibri" w:hAnsi="Calibri" w:cs="Calibri"/>
      <w:sz w:val="22"/>
      <w:szCs w:val="22"/>
      <w:lang w:eastAsia="en-US"/>
    </w:rPr>
  </w:style>
  <w:style w:type="character" w:customStyle="1" w:styleId="CommentaireCar">
    <w:name w:val="Commentaire Car"/>
    <w:basedOn w:val="Policepardfaut"/>
    <w:link w:val="Commentaire"/>
    <w:locked/>
    <w:rsid w:val="00C66A10"/>
    <w:rPr>
      <w:rFonts w:ascii="Trebuchet MS" w:hAnsi="Trebuchet MS" w:cs="Trebuchet MS"/>
      <w:sz w:val="22"/>
      <w:szCs w:val="22"/>
      <w:lang w:val="fr-FR" w:eastAsia="fr-FR"/>
    </w:rPr>
  </w:style>
  <w:style w:type="paragraph" w:styleId="NormalWeb">
    <w:name w:val="Normal (Web)"/>
    <w:basedOn w:val="Normal"/>
    <w:uiPriority w:val="99"/>
    <w:rsid w:val="00AC76DF"/>
    <w:pPr>
      <w:spacing w:before="225" w:after="225" w:line="240" w:lineRule="auto"/>
      <w:jc w:val="left"/>
    </w:pPr>
    <w:rPr>
      <w:rFonts w:ascii="Times New Roman" w:hAnsi="Times New Roman" w:cs="Times New Roman"/>
      <w:sz w:val="24"/>
      <w:szCs w:val="24"/>
    </w:rPr>
  </w:style>
  <w:style w:type="paragraph" w:styleId="Paragraphedeliste">
    <w:name w:val="List Paragraph"/>
    <w:basedOn w:val="Normal"/>
    <w:uiPriority w:val="34"/>
    <w:qFormat/>
    <w:rsid w:val="008023FE"/>
    <w:pPr>
      <w:spacing w:after="200" w:line="276" w:lineRule="auto"/>
      <w:ind w:left="720"/>
      <w:jc w:val="left"/>
    </w:pPr>
    <w:rPr>
      <w:rFonts w:ascii="Calibri" w:hAnsi="Calibri" w:cs="Calibri"/>
      <w:lang w:eastAsia="en-US"/>
    </w:rPr>
  </w:style>
  <w:style w:type="paragraph" w:customStyle="1" w:styleId="Paragraphedeliste1">
    <w:name w:val="Paragraphe de liste1"/>
    <w:basedOn w:val="Normal"/>
    <w:uiPriority w:val="99"/>
    <w:rsid w:val="002636CE"/>
    <w:pPr>
      <w:spacing w:after="200" w:line="276" w:lineRule="auto"/>
      <w:ind w:left="720"/>
      <w:jc w:val="left"/>
    </w:pPr>
    <w:rPr>
      <w:rFonts w:ascii="Footlight MT Light" w:hAnsi="Footlight MT Light" w:cs="Footlight MT Light"/>
      <w:sz w:val="28"/>
      <w:szCs w:val="28"/>
      <w:lang w:eastAsia="en-US"/>
    </w:rPr>
  </w:style>
  <w:style w:type="paragraph" w:styleId="Citationintense">
    <w:name w:val="Intense Quote"/>
    <w:basedOn w:val="Normal"/>
    <w:next w:val="Normal"/>
    <w:link w:val="CitationintenseCar"/>
    <w:uiPriority w:val="99"/>
    <w:qFormat/>
    <w:rsid w:val="00BA43A6"/>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locked/>
    <w:rsid w:val="00BA43A6"/>
    <w:rPr>
      <w:rFonts w:ascii="Trebuchet MS" w:hAnsi="Trebuchet MS" w:cs="Trebuchet MS"/>
      <w:b/>
      <w:bCs/>
      <w:i/>
      <w:iCs/>
      <w:color w:val="4F81BD"/>
      <w:sz w:val="22"/>
      <w:szCs w:val="22"/>
    </w:rPr>
  </w:style>
  <w:style w:type="character" w:styleId="Titredulivre">
    <w:name w:val="Book Title"/>
    <w:basedOn w:val="Policepardfaut"/>
    <w:uiPriority w:val="99"/>
    <w:qFormat/>
    <w:rsid w:val="00E34749"/>
    <w:rPr>
      <w:b/>
      <w:bCs/>
      <w:smallCaps/>
      <w:spacing w:val="5"/>
    </w:rPr>
  </w:style>
  <w:style w:type="table" w:styleId="Ple1">
    <w:name w:val="Table Subtle 1"/>
    <w:basedOn w:val="TableauNormal"/>
    <w:uiPriority w:val="99"/>
    <w:rsid w:val="00A8276A"/>
    <w:pPr>
      <w:spacing w:after="120" w:line="264"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moyenne3-Accent1">
    <w:name w:val="Medium Grid 3 Accent 1"/>
    <w:basedOn w:val="TableauNormal"/>
    <w:uiPriority w:val="99"/>
    <w:rsid w:val="004C6338"/>
    <w:rPr>
      <w:rFonts w:ascii="Footlight MT Light" w:hAnsi="Footlight MT Light" w:cs="Footlight MT Light"/>
      <w:sz w:val="28"/>
      <w:szCs w:val="28"/>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auliste1">
    <w:name w:val="Table List 1"/>
    <w:basedOn w:val="TableauNormal"/>
    <w:uiPriority w:val="99"/>
    <w:rsid w:val="00846F03"/>
    <w:pPr>
      <w:spacing w:after="120" w:line="264"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shd w:val="clear" w:color="auto" w:fill="auto"/>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vision">
    <w:name w:val="Revision"/>
    <w:hidden/>
    <w:uiPriority w:val="99"/>
    <w:semiHidden/>
    <w:rsid w:val="00AD230D"/>
    <w:rPr>
      <w:rFonts w:ascii="Trebuchet MS" w:hAnsi="Trebuchet MS" w:cs="Trebuchet MS"/>
      <w:sz w:val="22"/>
      <w:szCs w:val="22"/>
    </w:rPr>
  </w:style>
  <w:style w:type="table" w:styleId="Grillecouleur-Accent5">
    <w:name w:val="Colorful Grid Accent 5"/>
    <w:basedOn w:val="TableauNormal"/>
    <w:uiPriority w:val="99"/>
    <w:rsid w:val="006727A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Notedefin">
    <w:name w:val="endnote text"/>
    <w:basedOn w:val="Normal"/>
    <w:link w:val="NotedefinCar"/>
    <w:uiPriority w:val="99"/>
    <w:semiHidden/>
    <w:rsid w:val="0067692A"/>
    <w:rPr>
      <w:sz w:val="20"/>
      <w:szCs w:val="20"/>
    </w:rPr>
  </w:style>
  <w:style w:type="character" w:customStyle="1" w:styleId="NotedefinCar">
    <w:name w:val="Note de fin Car"/>
    <w:basedOn w:val="Policepardfaut"/>
    <w:link w:val="Notedefin"/>
    <w:uiPriority w:val="99"/>
    <w:semiHidden/>
    <w:rsid w:val="00696DDF"/>
    <w:rPr>
      <w:rFonts w:ascii="Trebuchet MS" w:hAnsi="Trebuchet MS" w:cs="Trebuchet MS"/>
      <w:sz w:val="20"/>
      <w:szCs w:val="20"/>
    </w:rPr>
  </w:style>
  <w:style w:type="character" w:styleId="Appeldenotedefin">
    <w:name w:val="endnote reference"/>
    <w:basedOn w:val="Policepardfaut"/>
    <w:uiPriority w:val="99"/>
    <w:semiHidden/>
    <w:rsid w:val="0067692A"/>
    <w:rPr>
      <w:vertAlign w:val="superscript"/>
    </w:rPr>
  </w:style>
  <w:style w:type="paragraph" w:styleId="En-ttedetabledesmatires">
    <w:name w:val="TOC Heading"/>
    <w:basedOn w:val="Titre1"/>
    <w:next w:val="Normal"/>
    <w:uiPriority w:val="39"/>
    <w:semiHidden/>
    <w:unhideWhenUsed/>
    <w:qFormat/>
    <w:rsid w:val="009253CC"/>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lang w:eastAsia="en-US"/>
    </w:rPr>
  </w:style>
  <w:style w:type="character" w:customStyle="1" w:styleId="st">
    <w:name w:val="st"/>
    <w:basedOn w:val="Policepardfaut"/>
    <w:rsid w:val="00CD7122"/>
  </w:style>
</w:styles>
</file>

<file path=word/webSettings.xml><?xml version="1.0" encoding="utf-8"?>
<w:webSettings xmlns:r="http://schemas.openxmlformats.org/officeDocument/2006/relationships" xmlns:w="http://schemas.openxmlformats.org/wordprocessingml/2006/main">
  <w:divs>
    <w:div w:id="147403695">
      <w:bodyDiv w:val="1"/>
      <w:marLeft w:val="0"/>
      <w:marRight w:val="0"/>
      <w:marTop w:val="0"/>
      <w:marBottom w:val="0"/>
      <w:divBdr>
        <w:top w:val="none" w:sz="0" w:space="0" w:color="auto"/>
        <w:left w:val="none" w:sz="0" w:space="0" w:color="auto"/>
        <w:bottom w:val="none" w:sz="0" w:space="0" w:color="auto"/>
        <w:right w:val="none" w:sz="0" w:space="0" w:color="auto"/>
      </w:divBdr>
    </w:div>
    <w:div w:id="264117425">
      <w:bodyDiv w:val="1"/>
      <w:marLeft w:val="0"/>
      <w:marRight w:val="0"/>
      <w:marTop w:val="0"/>
      <w:marBottom w:val="0"/>
      <w:divBdr>
        <w:top w:val="none" w:sz="0" w:space="0" w:color="auto"/>
        <w:left w:val="none" w:sz="0" w:space="0" w:color="auto"/>
        <w:bottom w:val="none" w:sz="0" w:space="0" w:color="auto"/>
        <w:right w:val="none" w:sz="0" w:space="0" w:color="auto"/>
      </w:divBdr>
    </w:div>
    <w:div w:id="301617405">
      <w:bodyDiv w:val="1"/>
      <w:marLeft w:val="0"/>
      <w:marRight w:val="0"/>
      <w:marTop w:val="0"/>
      <w:marBottom w:val="0"/>
      <w:divBdr>
        <w:top w:val="none" w:sz="0" w:space="0" w:color="auto"/>
        <w:left w:val="none" w:sz="0" w:space="0" w:color="auto"/>
        <w:bottom w:val="none" w:sz="0" w:space="0" w:color="auto"/>
        <w:right w:val="none" w:sz="0" w:space="0" w:color="auto"/>
      </w:divBdr>
    </w:div>
    <w:div w:id="345643326">
      <w:bodyDiv w:val="1"/>
      <w:marLeft w:val="0"/>
      <w:marRight w:val="0"/>
      <w:marTop w:val="0"/>
      <w:marBottom w:val="0"/>
      <w:divBdr>
        <w:top w:val="none" w:sz="0" w:space="0" w:color="auto"/>
        <w:left w:val="none" w:sz="0" w:space="0" w:color="auto"/>
        <w:bottom w:val="none" w:sz="0" w:space="0" w:color="auto"/>
        <w:right w:val="none" w:sz="0" w:space="0" w:color="auto"/>
      </w:divBdr>
    </w:div>
    <w:div w:id="418331414">
      <w:bodyDiv w:val="1"/>
      <w:marLeft w:val="0"/>
      <w:marRight w:val="0"/>
      <w:marTop w:val="0"/>
      <w:marBottom w:val="0"/>
      <w:divBdr>
        <w:top w:val="none" w:sz="0" w:space="0" w:color="auto"/>
        <w:left w:val="none" w:sz="0" w:space="0" w:color="auto"/>
        <w:bottom w:val="none" w:sz="0" w:space="0" w:color="auto"/>
        <w:right w:val="none" w:sz="0" w:space="0" w:color="auto"/>
      </w:divBdr>
    </w:div>
    <w:div w:id="444275242">
      <w:bodyDiv w:val="1"/>
      <w:marLeft w:val="0"/>
      <w:marRight w:val="0"/>
      <w:marTop w:val="0"/>
      <w:marBottom w:val="0"/>
      <w:divBdr>
        <w:top w:val="none" w:sz="0" w:space="0" w:color="auto"/>
        <w:left w:val="none" w:sz="0" w:space="0" w:color="auto"/>
        <w:bottom w:val="none" w:sz="0" w:space="0" w:color="auto"/>
        <w:right w:val="none" w:sz="0" w:space="0" w:color="auto"/>
      </w:divBdr>
    </w:div>
    <w:div w:id="519708216">
      <w:bodyDiv w:val="1"/>
      <w:marLeft w:val="0"/>
      <w:marRight w:val="0"/>
      <w:marTop w:val="0"/>
      <w:marBottom w:val="0"/>
      <w:divBdr>
        <w:top w:val="none" w:sz="0" w:space="0" w:color="auto"/>
        <w:left w:val="none" w:sz="0" w:space="0" w:color="auto"/>
        <w:bottom w:val="none" w:sz="0" w:space="0" w:color="auto"/>
        <w:right w:val="none" w:sz="0" w:space="0" w:color="auto"/>
      </w:divBdr>
    </w:div>
    <w:div w:id="571816610">
      <w:bodyDiv w:val="1"/>
      <w:marLeft w:val="0"/>
      <w:marRight w:val="0"/>
      <w:marTop w:val="0"/>
      <w:marBottom w:val="0"/>
      <w:divBdr>
        <w:top w:val="none" w:sz="0" w:space="0" w:color="auto"/>
        <w:left w:val="none" w:sz="0" w:space="0" w:color="auto"/>
        <w:bottom w:val="none" w:sz="0" w:space="0" w:color="auto"/>
        <w:right w:val="none" w:sz="0" w:space="0" w:color="auto"/>
      </w:divBdr>
    </w:div>
    <w:div w:id="666593869">
      <w:bodyDiv w:val="1"/>
      <w:marLeft w:val="0"/>
      <w:marRight w:val="0"/>
      <w:marTop w:val="0"/>
      <w:marBottom w:val="0"/>
      <w:divBdr>
        <w:top w:val="none" w:sz="0" w:space="0" w:color="auto"/>
        <w:left w:val="none" w:sz="0" w:space="0" w:color="auto"/>
        <w:bottom w:val="none" w:sz="0" w:space="0" w:color="auto"/>
        <w:right w:val="none" w:sz="0" w:space="0" w:color="auto"/>
      </w:divBdr>
    </w:div>
    <w:div w:id="733772722">
      <w:bodyDiv w:val="1"/>
      <w:marLeft w:val="0"/>
      <w:marRight w:val="0"/>
      <w:marTop w:val="0"/>
      <w:marBottom w:val="0"/>
      <w:divBdr>
        <w:top w:val="none" w:sz="0" w:space="0" w:color="auto"/>
        <w:left w:val="none" w:sz="0" w:space="0" w:color="auto"/>
        <w:bottom w:val="none" w:sz="0" w:space="0" w:color="auto"/>
        <w:right w:val="none" w:sz="0" w:space="0" w:color="auto"/>
      </w:divBdr>
    </w:div>
    <w:div w:id="822085749">
      <w:bodyDiv w:val="1"/>
      <w:marLeft w:val="0"/>
      <w:marRight w:val="0"/>
      <w:marTop w:val="0"/>
      <w:marBottom w:val="0"/>
      <w:divBdr>
        <w:top w:val="none" w:sz="0" w:space="0" w:color="auto"/>
        <w:left w:val="none" w:sz="0" w:space="0" w:color="auto"/>
        <w:bottom w:val="none" w:sz="0" w:space="0" w:color="auto"/>
        <w:right w:val="none" w:sz="0" w:space="0" w:color="auto"/>
      </w:divBdr>
    </w:div>
    <w:div w:id="826172936">
      <w:bodyDiv w:val="1"/>
      <w:marLeft w:val="0"/>
      <w:marRight w:val="0"/>
      <w:marTop w:val="0"/>
      <w:marBottom w:val="0"/>
      <w:divBdr>
        <w:top w:val="none" w:sz="0" w:space="0" w:color="auto"/>
        <w:left w:val="none" w:sz="0" w:space="0" w:color="auto"/>
        <w:bottom w:val="none" w:sz="0" w:space="0" w:color="auto"/>
        <w:right w:val="none" w:sz="0" w:space="0" w:color="auto"/>
      </w:divBdr>
    </w:div>
    <w:div w:id="840240292">
      <w:bodyDiv w:val="1"/>
      <w:marLeft w:val="0"/>
      <w:marRight w:val="0"/>
      <w:marTop w:val="0"/>
      <w:marBottom w:val="0"/>
      <w:divBdr>
        <w:top w:val="none" w:sz="0" w:space="0" w:color="auto"/>
        <w:left w:val="none" w:sz="0" w:space="0" w:color="auto"/>
        <w:bottom w:val="none" w:sz="0" w:space="0" w:color="auto"/>
        <w:right w:val="none" w:sz="0" w:space="0" w:color="auto"/>
      </w:divBdr>
    </w:div>
    <w:div w:id="853954047">
      <w:bodyDiv w:val="1"/>
      <w:marLeft w:val="0"/>
      <w:marRight w:val="0"/>
      <w:marTop w:val="0"/>
      <w:marBottom w:val="0"/>
      <w:divBdr>
        <w:top w:val="none" w:sz="0" w:space="0" w:color="auto"/>
        <w:left w:val="none" w:sz="0" w:space="0" w:color="auto"/>
        <w:bottom w:val="none" w:sz="0" w:space="0" w:color="auto"/>
        <w:right w:val="none" w:sz="0" w:space="0" w:color="auto"/>
      </w:divBdr>
    </w:div>
    <w:div w:id="867060401">
      <w:bodyDiv w:val="1"/>
      <w:marLeft w:val="0"/>
      <w:marRight w:val="0"/>
      <w:marTop w:val="0"/>
      <w:marBottom w:val="0"/>
      <w:divBdr>
        <w:top w:val="none" w:sz="0" w:space="0" w:color="auto"/>
        <w:left w:val="none" w:sz="0" w:space="0" w:color="auto"/>
        <w:bottom w:val="none" w:sz="0" w:space="0" w:color="auto"/>
        <w:right w:val="none" w:sz="0" w:space="0" w:color="auto"/>
      </w:divBdr>
    </w:div>
    <w:div w:id="874394166">
      <w:bodyDiv w:val="1"/>
      <w:marLeft w:val="0"/>
      <w:marRight w:val="0"/>
      <w:marTop w:val="0"/>
      <w:marBottom w:val="0"/>
      <w:divBdr>
        <w:top w:val="none" w:sz="0" w:space="0" w:color="auto"/>
        <w:left w:val="none" w:sz="0" w:space="0" w:color="auto"/>
        <w:bottom w:val="none" w:sz="0" w:space="0" w:color="auto"/>
        <w:right w:val="none" w:sz="0" w:space="0" w:color="auto"/>
      </w:divBdr>
    </w:div>
    <w:div w:id="874541979">
      <w:bodyDiv w:val="1"/>
      <w:marLeft w:val="0"/>
      <w:marRight w:val="0"/>
      <w:marTop w:val="0"/>
      <w:marBottom w:val="0"/>
      <w:divBdr>
        <w:top w:val="none" w:sz="0" w:space="0" w:color="auto"/>
        <w:left w:val="none" w:sz="0" w:space="0" w:color="auto"/>
        <w:bottom w:val="none" w:sz="0" w:space="0" w:color="auto"/>
        <w:right w:val="none" w:sz="0" w:space="0" w:color="auto"/>
      </w:divBdr>
    </w:div>
    <w:div w:id="923535813">
      <w:bodyDiv w:val="1"/>
      <w:marLeft w:val="0"/>
      <w:marRight w:val="0"/>
      <w:marTop w:val="0"/>
      <w:marBottom w:val="0"/>
      <w:divBdr>
        <w:top w:val="none" w:sz="0" w:space="0" w:color="auto"/>
        <w:left w:val="none" w:sz="0" w:space="0" w:color="auto"/>
        <w:bottom w:val="none" w:sz="0" w:space="0" w:color="auto"/>
        <w:right w:val="none" w:sz="0" w:space="0" w:color="auto"/>
      </w:divBdr>
    </w:div>
    <w:div w:id="942298750">
      <w:bodyDiv w:val="1"/>
      <w:marLeft w:val="0"/>
      <w:marRight w:val="0"/>
      <w:marTop w:val="0"/>
      <w:marBottom w:val="0"/>
      <w:divBdr>
        <w:top w:val="none" w:sz="0" w:space="0" w:color="auto"/>
        <w:left w:val="none" w:sz="0" w:space="0" w:color="auto"/>
        <w:bottom w:val="none" w:sz="0" w:space="0" w:color="auto"/>
        <w:right w:val="none" w:sz="0" w:space="0" w:color="auto"/>
      </w:divBdr>
    </w:div>
    <w:div w:id="960038177">
      <w:bodyDiv w:val="1"/>
      <w:marLeft w:val="0"/>
      <w:marRight w:val="0"/>
      <w:marTop w:val="0"/>
      <w:marBottom w:val="0"/>
      <w:divBdr>
        <w:top w:val="none" w:sz="0" w:space="0" w:color="auto"/>
        <w:left w:val="none" w:sz="0" w:space="0" w:color="auto"/>
        <w:bottom w:val="none" w:sz="0" w:space="0" w:color="auto"/>
        <w:right w:val="none" w:sz="0" w:space="0" w:color="auto"/>
      </w:divBdr>
    </w:div>
    <w:div w:id="982659020">
      <w:bodyDiv w:val="1"/>
      <w:marLeft w:val="0"/>
      <w:marRight w:val="0"/>
      <w:marTop w:val="0"/>
      <w:marBottom w:val="0"/>
      <w:divBdr>
        <w:top w:val="none" w:sz="0" w:space="0" w:color="auto"/>
        <w:left w:val="none" w:sz="0" w:space="0" w:color="auto"/>
        <w:bottom w:val="none" w:sz="0" w:space="0" w:color="auto"/>
        <w:right w:val="none" w:sz="0" w:space="0" w:color="auto"/>
      </w:divBdr>
    </w:div>
    <w:div w:id="1005867727">
      <w:bodyDiv w:val="1"/>
      <w:marLeft w:val="0"/>
      <w:marRight w:val="0"/>
      <w:marTop w:val="0"/>
      <w:marBottom w:val="0"/>
      <w:divBdr>
        <w:top w:val="none" w:sz="0" w:space="0" w:color="auto"/>
        <w:left w:val="none" w:sz="0" w:space="0" w:color="auto"/>
        <w:bottom w:val="none" w:sz="0" w:space="0" w:color="auto"/>
        <w:right w:val="none" w:sz="0" w:space="0" w:color="auto"/>
      </w:divBdr>
    </w:div>
    <w:div w:id="1234510237">
      <w:bodyDiv w:val="1"/>
      <w:marLeft w:val="0"/>
      <w:marRight w:val="0"/>
      <w:marTop w:val="0"/>
      <w:marBottom w:val="0"/>
      <w:divBdr>
        <w:top w:val="none" w:sz="0" w:space="0" w:color="auto"/>
        <w:left w:val="none" w:sz="0" w:space="0" w:color="auto"/>
        <w:bottom w:val="none" w:sz="0" w:space="0" w:color="auto"/>
        <w:right w:val="none" w:sz="0" w:space="0" w:color="auto"/>
      </w:divBdr>
    </w:div>
    <w:div w:id="1296566243">
      <w:bodyDiv w:val="1"/>
      <w:marLeft w:val="0"/>
      <w:marRight w:val="0"/>
      <w:marTop w:val="0"/>
      <w:marBottom w:val="0"/>
      <w:divBdr>
        <w:top w:val="none" w:sz="0" w:space="0" w:color="auto"/>
        <w:left w:val="none" w:sz="0" w:space="0" w:color="auto"/>
        <w:bottom w:val="none" w:sz="0" w:space="0" w:color="auto"/>
        <w:right w:val="none" w:sz="0" w:space="0" w:color="auto"/>
      </w:divBdr>
    </w:div>
    <w:div w:id="1371805818">
      <w:bodyDiv w:val="1"/>
      <w:marLeft w:val="0"/>
      <w:marRight w:val="0"/>
      <w:marTop w:val="0"/>
      <w:marBottom w:val="0"/>
      <w:divBdr>
        <w:top w:val="none" w:sz="0" w:space="0" w:color="auto"/>
        <w:left w:val="none" w:sz="0" w:space="0" w:color="auto"/>
        <w:bottom w:val="none" w:sz="0" w:space="0" w:color="auto"/>
        <w:right w:val="none" w:sz="0" w:space="0" w:color="auto"/>
      </w:divBdr>
    </w:div>
    <w:div w:id="1395393977">
      <w:bodyDiv w:val="1"/>
      <w:marLeft w:val="0"/>
      <w:marRight w:val="0"/>
      <w:marTop w:val="0"/>
      <w:marBottom w:val="0"/>
      <w:divBdr>
        <w:top w:val="none" w:sz="0" w:space="0" w:color="auto"/>
        <w:left w:val="none" w:sz="0" w:space="0" w:color="auto"/>
        <w:bottom w:val="none" w:sz="0" w:space="0" w:color="auto"/>
        <w:right w:val="none" w:sz="0" w:space="0" w:color="auto"/>
      </w:divBdr>
    </w:div>
    <w:div w:id="1466511082">
      <w:bodyDiv w:val="1"/>
      <w:marLeft w:val="0"/>
      <w:marRight w:val="0"/>
      <w:marTop w:val="0"/>
      <w:marBottom w:val="0"/>
      <w:divBdr>
        <w:top w:val="none" w:sz="0" w:space="0" w:color="auto"/>
        <w:left w:val="none" w:sz="0" w:space="0" w:color="auto"/>
        <w:bottom w:val="none" w:sz="0" w:space="0" w:color="auto"/>
        <w:right w:val="none" w:sz="0" w:space="0" w:color="auto"/>
      </w:divBdr>
    </w:div>
    <w:div w:id="1510757660">
      <w:marLeft w:val="0"/>
      <w:marRight w:val="0"/>
      <w:marTop w:val="0"/>
      <w:marBottom w:val="15"/>
      <w:divBdr>
        <w:top w:val="none" w:sz="0" w:space="0" w:color="auto"/>
        <w:left w:val="none" w:sz="0" w:space="0" w:color="auto"/>
        <w:bottom w:val="none" w:sz="0" w:space="0" w:color="auto"/>
        <w:right w:val="none" w:sz="0" w:space="0" w:color="auto"/>
      </w:divBdr>
      <w:divsChild>
        <w:div w:id="1510757708">
          <w:marLeft w:val="0"/>
          <w:marRight w:val="0"/>
          <w:marTop w:val="0"/>
          <w:marBottom w:val="0"/>
          <w:divBdr>
            <w:top w:val="none" w:sz="0" w:space="0" w:color="auto"/>
            <w:left w:val="none" w:sz="0" w:space="0" w:color="auto"/>
            <w:bottom w:val="none" w:sz="0" w:space="0" w:color="auto"/>
            <w:right w:val="none" w:sz="0" w:space="0" w:color="auto"/>
          </w:divBdr>
          <w:divsChild>
            <w:div w:id="1510757679">
              <w:marLeft w:val="0"/>
              <w:marRight w:val="0"/>
              <w:marTop w:val="0"/>
              <w:marBottom w:val="0"/>
              <w:divBdr>
                <w:top w:val="none" w:sz="0" w:space="0" w:color="auto"/>
                <w:left w:val="none" w:sz="0" w:space="0" w:color="auto"/>
                <w:bottom w:val="none" w:sz="0" w:space="0" w:color="auto"/>
                <w:right w:val="none" w:sz="0" w:space="0" w:color="auto"/>
              </w:divBdr>
              <w:divsChild>
                <w:div w:id="1510757677">
                  <w:marLeft w:val="150"/>
                  <w:marRight w:val="150"/>
                  <w:marTop w:val="0"/>
                  <w:marBottom w:val="0"/>
                  <w:divBdr>
                    <w:top w:val="none" w:sz="0" w:space="0" w:color="auto"/>
                    <w:left w:val="none" w:sz="0" w:space="0" w:color="auto"/>
                    <w:bottom w:val="none" w:sz="0" w:space="0" w:color="auto"/>
                    <w:right w:val="none" w:sz="0" w:space="0" w:color="auto"/>
                  </w:divBdr>
                  <w:divsChild>
                    <w:div w:id="1510757721">
                      <w:marLeft w:val="0"/>
                      <w:marRight w:val="0"/>
                      <w:marTop w:val="0"/>
                      <w:marBottom w:val="150"/>
                      <w:divBdr>
                        <w:top w:val="none" w:sz="0" w:space="0" w:color="auto"/>
                        <w:left w:val="none" w:sz="0" w:space="0" w:color="auto"/>
                        <w:bottom w:val="none" w:sz="0" w:space="0" w:color="auto"/>
                        <w:right w:val="none" w:sz="0" w:space="0" w:color="auto"/>
                      </w:divBdr>
                      <w:divsChild>
                        <w:div w:id="1510757675">
                          <w:marLeft w:val="0"/>
                          <w:marRight w:val="0"/>
                          <w:marTop w:val="0"/>
                          <w:marBottom w:val="0"/>
                          <w:divBdr>
                            <w:top w:val="none" w:sz="0" w:space="0" w:color="auto"/>
                            <w:left w:val="none" w:sz="0" w:space="0" w:color="auto"/>
                            <w:bottom w:val="none" w:sz="0" w:space="0" w:color="auto"/>
                            <w:right w:val="none" w:sz="0" w:space="0" w:color="auto"/>
                          </w:divBdr>
                          <w:divsChild>
                            <w:div w:id="1510757719">
                              <w:marLeft w:val="0"/>
                              <w:marRight w:val="0"/>
                              <w:marTop w:val="0"/>
                              <w:marBottom w:val="0"/>
                              <w:divBdr>
                                <w:top w:val="none" w:sz="0" w:space="0" w:color="auto"/>
                                <w:left w:val="none" w:sz="0" w:space="0" w:color="auto"/>
                                <w:bottom w:val="none" w:sz="0" w:space="0" w:color="auto"/>
                                <w:right w:val="none" w:sz="0" w:space="0" w:color="auto"/>
                              </w:divBdr>
                              <w:divsChild>
                                <w:div w:id="1510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757661">
      <w:marLeft w:val="0"/>
      <w:marRight w:val="0"/>
      <w:marTop w:val="0"/>
      <w:marBottom w:val="0"/>
      <w:divBdr>
        <w:top w:val="none" w:sz="0" w:space="0" w:color="auto"/>
        <w:left w:val="none" w:sz="0" w:space="0" w:color="auto"/>
        <w:bottom w:val="none" w:sz="0" w:space="0" w:color="auto"/>
        <w:right w:val="none" w:sz="0" w:space="0" w:color="auto"/>
      </w:divBdr>
    </w:div>
    <w:div w:id="1510757662">
      <w:marLeft w:val="0"/>
      <w:marRight w:val="0"/>
      <w:marTop w:val="0"/>
      <w:marBottom w:val="0"/>
      <w:divBdr>
        <w:top w:val="none" w:sz="0" w:space="0" w:color="auto"/>
        <w:left w:val="none" w:sz="0" w:space="0" w:color="auto"/>
        <w:bottom w:val="none" w:sz="0" w:space="0" w:color="auto"/>
        <w:right w:val="none" w:sz="0" w:space="0" w:color="auto"/>
      </w:divBdr>
    </w:div>
    <w:div w:id="1510757663">
      <w:marLeft w:val="0"/>
      <w:marRight w:val="0"/>
      <w:marTop w:val="0"/>
      <w:marBottom w:val="0"/>
      <w:divBdr>
        <w:top w:val="none" w:sz="0" w:space="0" w:color="auto"/>
        <w:left w:val="none" w:sz="0" w:space="0" w:color="auto"/>
        <w:bottom w:val="none" w:sz="0" w:space="0" w:color="auto"/>
        <w:right w:val="none" w:sz="0" w:space="0" w:color="auto"/>
      </w:divBdr>
    </w:div>
    <w:div w:id="1510757664">
      <w:marLeft w:val="0"/>
      <w:marRight w:val="0"/>
      <w:marTop w:val="0"/>
      <w:marBottom w:val="0"/>
      <w:divBdr>
        <w:top w:val="none" w:sz="0" w:space="0" w:color="auto"/>
        <w:left w:val="none" w:sz="0" w:space="0" w:color="auto"/>
        <w:bottom w:val="none" w:sz="0" w:space="0" w:color="auto"/>
        <w:right w:val="none" w:sz="0" w:space="0" w:color="auto"/>
      </w:divBdr>
    </w:div>
    <w:div w:id="1510757665">
      <w:marLeft w:val="0"/>
      <w:marRight w:val="0"/>
      <w:marTop w:val="0"/>
      <w:marBottom w:val="15"/>
      <w:divBdr>
        <w:top w:val="none" w:sz="0" w:space="0" w:color="auto"/>
        <w:left w:val="none" w:sz="0" w:space="0" w:color="auto"/>
        <w:bottom w:val="none" w:sz="0" w:space="0" w:color="auto"/>
        <w:right w:val="none" w:sz="0" w:space="0" w:color="auto"/>
      </w:divBdr>
      <w:divsChild>
        <w:div w:id="1510757696">
          <w:marLeft w:val="0"/>
          <w:marRight w:val="0"/>
          <w:marTop w:val="0"/>
          <w:marBottom w:val="0"/>
          <w:divBdr>
            <w:top w:val="none" w:sz="0" w:space="0" w:color="auto"/>
            <w:left w:val="none" w:sz="0" w:space="0" w:color="auto"/>
            <w:bottom w:val="none" w:sz="0" w:space="0" w:color="auto"/>
            <w:right w:val="none" w:sz="0" w:space="0" w:color="auto"/>
          </w:divBdr>
          <w:divsChild>
            <w:div w:id="1510757670">
              <w:marLeft w:val="0"/>
              <w:marRight w:val="0"/>
              <w:marTop w:val="0"/>
              <w:marBottom w:val="0"/>
              <w:divBdr>
                <w:top w:val="none" w:sz="0" w:space="0" w:color="auto"/>
                <w:left w:val="none" w:sz="0" w:space="0" w:color="auto"/>
                <w:bottom w:val="none" w:sz="0" w:space="0" w:color="auto"/>
                <w:right w:val="none" w:sz="0" w:space="0" w:color="auto"/>
              </w:divBdr>
              <w:divsChild>
                <w:div w:id="1510757676">
                  <w:marLeft w:val="150"/>
                  <w:marRight w:val="150"/>
                  <w:marTop w:val="0"/>
                  <w:marBottom w:val="0"/>
                  <w:divBdr>
                    <w:top w:val="none" w:sz="0" w:space="0" w:color="auto"/>
                    <w:left w:val="none" w:sz="0" w:space="0" w:color="auto"/>
                    <w:bottom w:val="none" w:sz="0" w:space="0" w:color="auto"/>
                    <w:right w:val="none" w:sz="0" w:space="0" w:color="auto"/>
                  </w:divBdr>
                  <w:divsChild>
                    <w:div w:id="1510757668">
                      <w:marLeft w:val="0"/>
                      <w:marRight w:val="0"/>
                      <w:marTop w:val="0"/>
                      <w:marBottom w:val="150"/>
                      <w:divBdr>
                        <w:top w:val="none" w:sz="0" w:space="0" w:color="auto"/>
                        <w:left w:val="none" w:sz="0" w:space="0" w:color="auto"/>
                        <w:bottom w:val="none" w:sz="0" w:space="0" w:color="auto"/>
                        <w:right w:val="none" w:sz="0" w:space="0" w:color="auto"/>
                      </w:divBdr>
                      <w:divsChild>
                        <w:div w:id="1510757678">
                          <w:marLeft w:val="0"/>
                          <w:marRight w:val="0"/>
                          <w:marTop w:val="0"/>
                          <w:marBottom w:val="0"/>
                          <w:divBdr>
                            <w:top w:val="none" w:sz="0" w:space="0" w:color="auto"/>
                            <w:left w:val="none" w:sz="0" w:space="0" w:color="auto"/>
                            <w:bottom w:val="none" w:sz="0" w:space="0" w:color="auto"/>
                            <w:right w:val="none" w:sz="0" w:space="0" w:color="auto"/>
                          </w:divBdr>
                          <w:divsChild>
                            <w:div w:id="1510757673">
                              <w:marLeft w:val="0"/>
                              <w:marRight w:val="0"/>
                              <w:marTop w:val="0"/>
                              <w:marBottom w:val="0"/>
                              <w:divBdr>
                                <w:top w:val="none" w:sz="0" w:space="0" w:color="auto"/>
                                <w:left w:val="none" w:sz="0" w:space="0" w:color="auto"/>
                                <w:bottom w:val="none" w:sz="0" w:space="0" w:color="auto"/>
                                <w:right w:val="none" w:sz="0" w:space="0" w:color="auto"/>
                              </w:divBdr>
                              <w:divsChild>
                                <w:div w:id="15107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757666">
      <w:marLeft w:val="0"/>
      <w:marRight w:val="0"/>
      <w:marTop w:val="0"/>
      <w:marBottom w:val="0"/>
      <w:divBdr>
        <w:top w:val="none" w:sz="0" w:space="0" w:color="auto"/>
        <w:left w:val="none" w:sz="0" w:space="0" w:color="auto"/>
        <w:bottom w:val="none" w:sz="0" w:space="0" w:color="auto"/>
        <w:right w:val="none" w:sz="0" w:space="0" w:color="auto"/>
      </w:divBdr>
    </w:div>
    <w:div w:id="1510757667">
      <w:marLeft w:val="0"/>
      <w:marRight w:val="0"/>
      <w:marTop w:val="0"/>
      <w:marBottom w:val="0"/>
      <w:divBdr>
        <w:top w:val="none" w:sz="0" w:space="0" w:color="auto"/>
        <w:left w:val="none" w:sz="0" w:space="0" w:color="auto"/>
        <w:bottom w:val="none" w:sz="0" w:space="0" w:color="auto"/>
        <w:right w:val="none" w:sz="0" w:space="0" w:color="auto"/>
      </w:divBdr>
    </w:div>
    <w:div w:id="1510757669">
      <w:marLeft w:val="0"/>
      <w:marRight w:val="0"/>
      <w:marTop w:val="0"/>
      <w:marBottom w:val="0"/>
      <w:divBdr>
        <w:top w:val="none" w:sz="0" w:space="0" w:color="auto"/>
        <w:left w:val="none" w:sz="0" w:space="0" w:color="auto"/>
        <w:bottom w:val="none" w:sz="0" w:space="0" w:color="auto"/>
        <w:right w:val="none" w:sz="0" w:space="0" w:color="auto"/>
      </w:divBdr>
    </w:div>
    <w:div w:id="1510757672">
      <w:marLeft w:val="0"/>
      <w:marRight w:val="0"/>
      <w:marTop w:val="0"/>
      <w:marBottom w:val="0"/>
      <w:divBdr>
        <w:top w:val="none" w:sz="0" w:space="0" w:color="auto"/>
        <w:left w:val="none" w:sz="0" w:space="0" w:color="auto"/>
        <w:bottom w:val="none" w:sz="0" w:space="0" w:color="auto"/>
        <w:right w:val="none" w:sz="0" w:space="0" w:color="auto"/>
      </w:divBdr>
    </w:div>
    <w:div w:id="1510757674">
      <w:marLeft w:val="0"/>
      <w:marRight w:val="0"/>
      <w:marTop w:val="0"/>
      <w:marBottom w:val="0"/>
      <w:divBdr>
        <w:top w:val="none" w:sz="0" w:space="0" w:color="auto"/>
        <w:left w:val="none" w:sz="0" w:space="0" w:color="auto"/>
        <w:bottom w:val="none" w:sz="0" w:space="0" w:color="auto"/>
        <w:right w:val="none" w:sz="0" w:space="0" w:color="auto"/>
      </w:divBdr>
    </w:div>
    <w:div w:id="1510757680">
      <w:marLeft w:val="0"/>
      <w:marRight w:val="0"/>
      <w:marTop w:val="0"/>
      <w:marBottom w:val="0"/>
      <w:divBdr>
        <w:top w:val="none" w:sz="0" w:space="0" w:color="auto"/>
        <w:left w:val="none" w:sz="0" w:space="0" w:color="auto"/>
        <w:bottom w:val="none" w:sz="0" w:space="0" w:color="auto"/>
        <w:right w:val="none" w:sz="0" w:space="0" w:color="auto"/>
      </w:divBdr>
    </w:div>
    <w:div w:id="1510757681">
      <w:marLeft w:val="0"/>
      <w:marRight w:val="0"/>
      <w:marTop w:val="0"/>
      <w:marBottom w:val="0"/>
      <w:divBdr>
        <w:top w:val="none" w:sz="0" w:space="0" w:color="auto"/>
        <w:left w:val="none" w:sz="0" w:space="0" w:color="auto"/>
        <w:bottom w:val="none" w:sz="0" w:space="0" w:color="auto"/>
        <w:right w:val="none" w:sz="0" w:space="0" w:color="auto"/>
      </w:divBdr>
    </w:div>
    <w:div w:id="1510757682">
      <w:marLeft w:val="0"/>
      <w:marRight w:val="0"/>
      <w:marTop w:val="0"/>
      <w:marBottom w:val="0"/>
      <w:divBdr>
        <w:top w:val="none" w:sz="0" w:space="0" w:color="auto"/>
        <w:left w:val="none" w:sz="0" w:space="0" w:color="auto"/>
        <w:bottom w:val="none" w:sz="0" w:space="0" w:color="auto"/>
        <w:right w:val="none" w:sz="0" w:space="0" w:color="auto"/>
      </w:divBdr>
    </w:div>
    <w:div w:id="1510757683">
      <w:marLeft w:val="0"/>
      <w:marRight w:val="0"/>
      <w:marTop w:val="0"/>
      <w:marBottom w:val="0"/>
      <w:divBdr>
        <w:top w:val="none" w:sz="0" w:space="0" w:color="auto"/>
        <w:left w:val="none" w:sz="0" w:space="0" w:color="auto"/>
        <w:bottom w:val="none" w:sz="0" w:space="0" w:color="auto"/>
        <w:right w:val="none" w:sz="0" w:space="0" w:color="auto"/>
      </w:divBdr>
    </w:div>
    <w:div w:id="1510757684">
      <w:marLeft w:val="0"/>
      <w:marRight w:val="0"/>
      <w:marTop w:val="0"/>
      <w:marBottom w:val="0"/>
      <w:divBdr>
        <w:top w:val="none" w:sz="0" w:space="0" w:color="auto"/>
        <w:left w:val="none" w:sz="0" w:space="0" w:color="auto"/>
        <w:bottom w:val="none" w:sz="0" w:space="0" w:color="auto"/>
        <w:right w:val="none" w:sz="0" w:space="0" w:color="auto"/>
      </w:divBdr>
    </w:div>
    <w:div w:id="1510757685">
      <w:marLeft w:val="0"/>
      <w:marRight w:val="0"/>
      <w:marTop w:val="0"/>
      <w:marBottom w:val="0"/>
      <w:divBdr>
        <w:top w:val="none" w:sz="0" w:space="0" w:color="auto"/>
        <w:left w:val="none" w:sz="0" w:space="0" w:color="auto"/>
        <w:bottom w:val="none" w:sz="0" w:space="0" w:color="auto"/>
        <w:right w:val="none" w:sz="0" w:space="0" w:color="auto"/>
      </w:divBdr>
    </w:div>
    <w:div w:id="1510757686">
      <w:marLeft w:val="0"/>
      <w:marRight w:val="0"/>
      <w:marTop w:val="0"/>
      <w:marBottom w:val="0"/>
      <w:divBdr>
        <w:top w:val="none" w:sz="0" w:space="0" w:color="auto"/>
        <w:left w:val="none" w:sz="0" w:space="0" w:color="auto"/>
        <w:bottom w:val="none" w:sz="0" w:space="0" w:color="auto"/>
        <w:right w:val="none" w:sz="0" w:space="0" w:color="auto"/>
      </w:divBdr>
    </w:div>
    <w:div w:id="1510757687">
      <w:marLeft w:val="0"/>
      <w:marRight w:val="0"/>
      <w:marTop w:val="0"/>
      <w:marBottom w:val="0"/>
      <w:divBdr>
        <w:top w:val="none" w:sz="0" w:space="0" w:color="auto"/>
        <w:left w:val="none" w:sz="0" w:space="0" w:color="auto"/>
        <w:bottom w:val="none" w:sz="0" w:space="0" w:color="auto"/>
        <w:right w:val="none" w:sz="0" w:space="0" w:color="auto"/>
      </w:divBdr>
    </w:div>
    <w:div w:id="1510757688">
      <w:marLeft w:val="0"/>
      <w:marRight w:val="0"/>
      <w:marTop w:val="0"/>
      <w:marBottom w:val="0"/>
      <w:divBdr>
        <w:top w:val="none" w:sz="0" w:space="0" w:color="auto"/>
        <w:left w:val="none" w:sz="0" w:space="0" w:color="auto"/>
        <w:bottom w:val="none" w:sz="0" w:space="0" w:color="auto"/>
        <w:right w:val="none" w:sz="0" w:space="0" w:color="auto"/>
      </w:divBdr>
    </w:div>
    <w:div w:id="1510757689">
      <w:marLeft w:val="0"/>
      <w:marRight w:val="0"/>
      <w:marTop w:val="0"/>
      <w:marBottom w:val="0"/>
      <w:divBdr>
        <w:top w:val="none" w:sz="0" w:space="0" w:color="auto"/>
        <w:left w:val="none" w:sz="0" w:space="0" w:color="auto"/>
        <w:bottom w:val="none" w:sz="0" w:space="0" w:color="auto"/>
        <w:right w:val="none" w:sz="0" w:space="0" w:color="auto"/>
      </w:divBdr>
    </w:div>
    <w:div w:id="1510757690">
      <w:marLeft w:val="0"/>
      <w:marRight w:val="0"/>
      <w:marTop w:val="0"/>
      <w:marBottom w:val="0"/>
      <w:divBdr>
        <w:top w:val="none" w:sz="0" w:space="0" w:color="auto"/>
        <w:left w:val="none" w:sz="0" w:space="0" w:color="auto"/>
        <w:bottom w:val="none" w:sz="0" w:space="0" w:color="auto"/>
        <w:right w:val="none" w:sz="0" w:space="0" w:color="auto"/>
      </w:divBdr>
    </w:div>
    <w:div w:id="1510757691">
      <w:marLeft w:val="0"/>
      <w:marRight w:val="0"/>
      <w:marTop w:val="0"/>
      <w:marBottom w:val="0"/>
      <w:divBdr>
        <w:top w:val="none" w:sz="0" w:space="0" w:color="auto"/>
        <w:left w:val="none" w:sz="0" w:space="0" w:color="auto"/>
        <w:bottom w:val="none" w:sz="0" w:space="0" w:color="auto"/>
        <w:right w:val="none" w:sz="0" w:space="0" w:color="auto"/>
      </w:divBdr>
    </w:div>
    <w:div w:id="1510757692">
      <w:marLeft w:val="0"/>
      <w:marRight w:val="0"/>
      <w:marTop w:val="0"/>
      <w:marBottom w:val="0"/>
      <w:divBdr>
        <w:top w:val="none" w:sz="0" w:space="0" w:color="auto"/>
        <w:left w:val="none" w:sz="0" w:space="0" w:color="auto"/>
        <w:bottom w:val="none" w:sz="0" w:space="0" w:color="auto"/>
        <w:right w:val="none" w:sz="0" w:space="0" w:color="auto"/>
      </w:divBdr>
    </w:div>
    <w:div w:id="1510757693">
      <w:marLeft w:val="0"/>
      <w:marRight w:val="0"/>
      <w:marTop w:val="0"/>
      <w:marBottom w:val="0"/>
      <w:divBdr>
        <w:top w:val="none" w:sz="0" w:space="0" w:color="auto"/>
        <w:left w:val="none" w:sz="0" w:space="0" w:color="auto"/>
        <w:bottom w:val="none" w:sz="0" w:space="0" w:color="auto"/>
        <w:right w:val="none" w:sz="0" w:space="0" w:color="auto"/>
      </w:divBdr>
    </w:div>
    <w:div w:id="1510757694">
      <w:marLeft w:val="0"/>
      <w:marRight w:val="0"/>
      <w:marTop w:val="0"/>
      <w:marBottom w:val="0"/>
      <w:divBdr>
        <w:top w:val="none" w:sz="0" w:space="0" w:color="auto"/>
        <w:left w:val="none" w:sz="0" w:space="0" w:color="auto"/>
        <w:bottom w:val="none" w:sz="0" w:space="0" w:color="auto"/>
        <w:right w:val="none" w:sz="0" w:space="0" w:color="auto"/>
      </w:divBdr>
    </w:div>
    <w:div w:id="1510757695">
      <w:marLeft w:val="0"/>
      <w:marRight w:val="0"/>
      <w:marTop w:val="0"/>
      <w:marBottom w:val="0"/>
      <w:divBdr>
        <w:top w:val="none" w:sz="0" w:space="0" w:color="auto"/>
        <w:left w:val="none" w:sz="0" w:space="0" w:color="auto"/>
        <w:bottom w:val="none" w:sz="0" w:space="0" w:color="auto"/>
        <w:right w:val="none" w:sz="0" w:space="0" w:color="auto"/>
      </w:divBdr>
    </w:div>
    <w:div w:id="1510757697">
      <w:marLeft w:val="0"/>
      <w:marRight w:val="0"/>
      <w:marTop w:val="0"/>
      <w:marBottom w:val="0"/>
      <w:divBdr>
        <w:top w:val="none" w:sz="0" w:space="0" w:color="auto"/>
        <w:left w:val="none" w:sz="0" w:space="0" w:color="auto"/>
        <w:bottom w:val="none" w:sz="0" w:space="0" w:color="auto"/>
        <w:right w:val="none" w:sz="0" w:space="0" w:color="auto"/>
      </w:divBdr>
    </w:div>
    <w:div w:id="1510757698">
      <w:marLeft w:val="0"/>
      <w:marRight w:val="0"/>
      <w:marTop w:val="0"/>
      <w:marBottom w:val="0"/>
      <w:divBdr>
        <w:top w:val="none" w:sz="0" w:space="0" w:color="auto"/>
        <w:left w:val="none" w:sz="0" w:space="0" w:color="auto"/>
        <w:bottom w:val="none" w:sz="0" w:space="0" w:color="auto"/>
        <w:right w:val="none" w:sz="0" w:space="0" w:color="auto"/>
      </w:divBdr>
    </w:div>
    <w:div w:id="1510757699">
      <w:marLeft w:val="0"/>
      <w:marRight w:val="0"/>
      <w:marTop w:val="0"/>
      <w:marBottom w:val="0"/>
      <w:divBdr>
        <w:top w:val="none" w:sz="0" w:space="0" w:color="auto"/>
        <w:left w:val="none" w:sz="0" w:space="0" w:color="auto"/>
        <w:bottom w:val="none" w:sz="0" w:space="0" w:color="auto"/>
        <w:right w:val="none" w:sz="0" w:space="0" w:color="auto"/>
      </w:divBdr>
    </w:div>
    <w:div w:id="1510757700">
      <w:marLeft w:val="0"/>
      <w:marRight w:val="0"/>
      <w:marTop w:val="0"/>
      <w:marBottom w:val="0"/>
      <w:divBdr>
        <w:top w:val="none" w:sz="0" w:space="0" w:color="auto"/>
        <w:left w:val="none" w:sz="0" w:space="0" w:color="auto"/>
        <w:bottom w:val="none" w:sz="0" w:space="0" w:color="auto"/>
        <w:right w:val="none" w:sz="0" w:space="0" w:color="auto"/>
      </w:divBdr>
    </w:div>
    <w:div w:id="1510757701">
      <w:marLeft w:val="0"/>
      <w:marRight w:val="0"/>
      <w:marTop w:val="0"/>
      <w:marBottom w:val="0"/>
      <w:divBdr>
        <w:top w:val="none" w:sz="0" w:space="0" w:color="auto"/>
        <w:left w:val="none" w:sz="0" w:space="0" w:color="auto"/>
        <w:bottom w:val="none" w:sz="0" w:space="0" w:color="auto"/>
        <w:right w:val="none" w:sz="0" w:space="0" w:color="auto"/>
      </w:divBdr>
    </w:div>
    <w:div w:id="1510757702">
      <w:marLeft w:val="0"/>
      <w:marRight w:val="0"/>
      <w:marTop w:val="0"/>
      <w:marBottom w:val="0"/>
      <w:divBdr>
        <w:top w:val="none" w:sz="0" w:space="0" w:color="auto"/>
        <w:left w:val="none" w:sz="0" w:space="0" w:color="auto"/>
        <w:bottom w:val="none" w:sz="0" w:space="0" w:color="auto"/>
        <w:right w:val="none" w:sz="0" w:space="0" w:color="auto"/>
      </w:divBdr>
    </w:div>
    <w:div w:id="1510757703">
      <w:marLeft w:val="0"/>
      <w:marRight w:val="0"/>
      <w:marTop w:val="0"/>
      <w:marBottom w:val="0"/>
      <w:divBdr>
        <w:top w:val="none" w:sz="0" w:space="0" w:color="auto"/>
        <w:left w:val="none" w:sz="0" w:space="0" w:color="auto"/>
        <w:bottom w:val="none" w:sz="0" w:space="0" w:color="auto"/>
        <w:right w:val="none" w:sz="0" w:space="0" w:color="auto"/>
      </w:divBdr>
    </w:div>
    <w:div w:id="1510757704">
      <w:marLeft w:val="0"/>
      <w:marRight w:val="0"/>
      <w:marTop w:val="0"/>
      <w:marBottom w:val="0"/>
      <w:divBdr>
        <w:top w:val="none" w:sz="0" w:space="0" w:color="auto"/>
        <w:left w:val="none" w:sz="0" w:space="0" w:color="auto"/>
        <w:bottom w:val="none" w:sz="0" w:space="0" w:color="auto"/>
        <w:right w:val="none" w:sz="0" w:space="0" w:color="auto"/>
      </w:divBdr>
    </w:div>
    <w:div w:id="1510757705">
      <w:marLeft w:val="0"/>
      <w:marRight w:val="0"/>
      <w:marTop w:val="0"/>
      <w:marBottom w:val="0"/>
      <w:divBdr>
        <w:top w:val="none" w:sz="0" w:space="0" w:color="auto"/>
        <w:left w:val="none" w:sz="0" w:space="0" w:color="auto"/>
        <w:bottom w:val="none" w:sz="0" w:space="0" w:color="auto"/>
        <w:right w:val="none" w:sz="0" w:space="0" w:color="auto"/>
      </w:divBdr>
    </w:div>
    <w:div w:id="1510757706">
      <w:marLeft w:val="0"/>
      <w:marRight w:val="0"/>
      <w:marTop w:val="0"/>
      <w:marBottom w:val="0"/>
      <w:divBdr>
        <w:top w:val="none" w:sz="0" w:space="0" w:color="auto"/>
        <w:left w:val="none" w:sz="0" w:space="0" w:color="auto"/>
        <w:bottom w:val="none" w:sz="0" w:space="0" w:color="auto"/>
        <w:right w:val="none" w:sz="0" w:space="0" w:color="auto"/>
      </w:divBdr>
    </w:div>
    <w:div w:id="1510757707">
      <w:marLeft w:val="0"/>
      <w:marRight w:val="0"/>
      <w:marTop w:val="0"/>
      <w:marBottom w:val="0"/>
      <w:divBdr>
        <w:top w:val="none" w:sz="0" w:space="0" w:color="auto"/>
        <w:left w:val="none" w:sz="0" w:space="0" w:color="auto"/>
        <w:bottom w:val="none" w:sz="0" w:space="0" w:color="auto"/>
        <w:right w:val="none" w:sz="0" w:space="0" w:color="auto"/>
      </w:divBdr>
    </w:div>
    <w:div w:id="1510757709">
      <w:marLeft w:val="0"/>
      <w:marRight w:val="0"/>
      <w:marTop w:val="0"/>
      <w:marBottom w:val="0"/>
      <w:divBdr>
        <w:top w:val="none" w:sz="0" w:space="0" w:color="auto"/>
        <w:left w:val="none" w:sz="0" w:space="0" w:color="auto"/>
        <w:bottom w:val="none" w:sz="0" w:space="0" w:color="auto"/>
        <w:right w:val="none" w:sz="0" w:space="0" w:color="auto"/>
      </w:divBdr>
    </w:div>
    <w:div w:id="1510757710">
      <w:marLeft w:val="0"/>
      <w:marRight w:val="0"/>
      <w:marTop w:val="0"/>
      <w:marBottom w:val="0"/>
      <w:divBdr>
        <w:top w:val="none" w:sz="0" w:space="0" w:color="auto"/>
        <w:left w:val="none" w:sz="0" w:space="0" w:color="auto"/>
        <w:bottom w:val="none" w:sz="0" w:space="0" w:color="auto"/>
        <w:right w:val="none" w:sz="0" w:space="0" w:color="auto"/>
      </w:divBdr>
    </w:div>
    <w:div w:id="1510757711">
      <w:marLeft w:val="0"/>
      <w:marRight w:val="0"/>
      <w:marTop w:val="0"/>
      <w:marBottom w:val="0"/>
      <w:divBdr>
        <w:top w:val="none" w:sz="0" w:space="0" w:color="auto"/>
        <w:left w:val="none" w:sz="0" w:space="0" w:color="auto"/>
        <w:bottom w:val="none" w:sz="0" w:space="0" w:color="auto"/>
        <w:right w:val="none" w:sz="0" w:space="0" w:color="auto"/>
      </w:divBdr>
    </w:div>
    <w:div w:id="1510757712">
      <w:marLeft w:val="0"/>
      <w:marRight w:val="0"/>
      <w:marTop w:val="0"/>
      <w:marBottom w:val="0"/>
      <w:divBdr>
        <w:top w:val="none" w:sz="0" w:space="0" w:color="auto"/>
        <w:left w:val="none" w:sz="0" w:space="0" w:color="auto"/>
        <w:bottom w:val="none" w:sz="0" w:space="0" w:color="auto"/>
        <w:right w:val="none" w:sz="0" w:space="0" w:color="auto"/>
      </w:divBdr>
    </w:div>
    <w:div w:id="1510757713">
      <w:marLeft w:val="0"/>
      <w:marRight w:val="0"/>
      <w:marTop w:val="0"/>
      <w:marBottom w:val="0"/>
      <w:divBdr>
        <w:top w:val="none" w:sz="0" w:space="0" w:color="auto"/>
        <w:left w:val="none" w:sz="0" w:space="0" w:color="auto"/>
        <w:bottom w:val="none" w:sz="0" w:space="0" w:color="auto"/>
        <w:right w:val="none" w:sz="0" w:space="0" w:color="auto"/>
      </w:divBdr>
    </w:div>
    <w:div w:id="1510757714">
      <w:marLeft w:val="0"/>
      <w:marRight w:val="0"/>
      <w:marTop w:val="0"/>
      <w:marBottom w:val="0"/>
      <w:divBdr>
        <w:top w:val="none" w:sz="0" w:space="0" w:color="auto"/>
        <w:left w:val="none" w:sz="0" w:space="0" w:color="auto"/>
        <w:bottom w:val="none" w:sz="0" w:space="0" w:color="auto"/>
        <w:right w:val="none" w:sz="0" w:space="0" w:color="auto"/>
      </w:divBdr>
    </w:div>
    <w:div w:id="1510757715">
      <w:marLeft w:val="0"/>
      <w:marRight w:val="0"/>
      <w:marTop w:val="0"/>
      <w:marBottom w:val="0"/>
      <w:divBdr>
        <w:top w:val="none" w:sz="0" w:space="0" w:color="auto"/>
        <w:left w:val="none" w:sz="0" w:space="0" w:color="auto"/>
        <w:bottom w:val="none" w:sz="0" w:space="0" w:color="auto"/>
        <w:right w:val="none" w:sz="0" w:space="0" w:color="auto"/>
      </w:divBdr>
    </w:div>
    <w:div w:id="1510757716">
      <w:marLeft w:val="0"/>
      <w:marRight w:val="0"/>
      <w:marTop w:val="0"/>
      <w:marBottom w:val="0"/>
      <w:divBdr>
        <w:top w:val="none" w:sz="0" w:space="0" w:color="auto"/>
        <w:left w:val="none" w:sz="0" w:space="0" w:color="auto"/>
        <w:bottom w:val="none" w:sz="0" w:space="0" w:color="auto"/>
        <w:right w:val="none" w:sz="0" w:space="0" w:color="auto"/>
      </w:divBdr>
    </w:div>
    <w:div w:id="1510757717">
      <w:marLeft w:val="0"/>
      <w:marRight w:val="0"/>
      <w:marTop w:val="0"/>
      <w:marBottom w:val="0"/>
      <w:divBdr>
        <w:top w:val="none" w:sz="0" w:space="0" w:color="auto"/>
        <w:left w:val="none" w:sz="0" w:space="0" w:color="auto"/>
        <w:bottom w:val="none" w:sz="0" w:space="0" w:color="auto"/>
        <w:right w:val="none" w:sz="0" w:space="0" w:color="auto"/>
      </w:divBdr>
    </w:div>
    <w:div w:id="1510757720">
      <w:marLeft w:val="0"/>
      <w:marRight w:val="0"/>
      <w:marTop w:val="0"/>
      <w:marBottom w:val="0"/>
      <w:divBdr>
        <w:top w:val="none" w:sz="0" w:space="0" w:color="auto"/>
        <w:left w:val="none" w:sz="0" w:space="0" w:color="auto"/>
        <w:bottom w:val="none" w:sz="0" w:space="0" w:color="auto"/>
        <w:right w:val="none" w:sz="0" w:space="0" w:color="auto"/>
      </w:divBdr>
    </w:div>
    <w:div w:id="1668560122">
      <w:bodyDiv w:val="1"/>
      <w:marLeft w:val="0"/>
      <w:marRight w:val="0"/>
      <w:marTop w:val="0"/>
      <w:marBottom w:val="0"/>
      <w:divBdr>
        <w:top w:val="none" w:sz="0" w:space="0" w:color="auto"/>
        <w:left w:val="none" w:sz="0" w:space="0" w:color="auto"/>
        <w:bottom w:val="none" w:sz="0" w:space="0" w:color="auto"/>
        <w:right w:val="none" w:sz="0" w:space="0" w:color="auto"/>
      </w:divBdr>
    </w:div>
    <w:div w:id="1710956073">
      <w:bodyDiv w:val="1"/>
      <w:marLeft w:val="0"/>
      <w:marRight w:val="0"/>
      <w:marTop w:val="0"/>
      <w:marBottom w:val="0"/>
      <w:divBdr>
        <w:top w:val="none" w:sz="0" w:space="0" w:color="auto"/>
        <w:left w:val="none" w:sz="0" w:space="0" w:color="auto"/>
        <w:bottom w:val="none" w:sz="0" w:space="0" w:color="auto"/>
        <w:right w:val="none" w:sz="0" w:space="0" w:color="auto"/>
      </w:divBdr>
    </w:div>
    <w:div w:id="1716125934">
      <w:bodyDiv w:val="1"/>
      <w:marLeft w:val="0"/>
      <w:marRight w:val="0"/>
      <w:marTop w:val="0"/>
      <w:marBottom w:val="0"/>
      <w:divBdr>
        <w:top w:val="none" w:sz="0" w:space="0" w:color="auto"/>
        <w:left w:val="none" w:sz="0" w:space="0" w:color="auto"/>
        <w:bottom w:val="none" w:sz="0" w:space="0" w:color="auto"/>
        <w:right w:val="none" w:sz="0" w:space="0" w:color="auto"/>
      </w:divBdr>
    </w:div>
    <w:div w:id="1726634694">
      <w:bodyDiv w:val="1"/>
      <w:marLeft w:val="0"/>
      <w:marRight w:val="0"/>
      <w:marTop w:val="0"/>
      <w:marBottom w:val="0"/>
      <w:divBdr>
        <w:top w:val="none" w:sz="0" w:space="0" w:color="auto"/>
        <w:left w:val="none" w:sz="0" w:space="0" w:color="auto"/>
        <w:bottom w:val="none" w:sz="0" w:space="0" w:color="auto"/>
        <w:right w:val="none" w:sz="0" w:space="0" w:color="auto"/>
      </w:divBdr>
    </w:div>
    <w:div w:id="1863205340">
      <w:bodyDiv w:val="1"/>
      <w:marLeft w:val="0"/>
      <w:marRight w:val="0"/>
      <w:marTop w:val="0"/>
      <w:marBottom w:val="0"/>
      <w:divBdr>
        <w:top w:val="none" w:sz="0" w:space="0" w:color="auto"/>
        <w:left w:val="none" w:sz="0" w:space="0" w:color="auto"/>
        <w:bottom w:val="none" w:sz="0" w:space="0" w:color="auto"/>
        <w:right w:val="none" w:sz="0" w:space="0" w:color="auto"/>
      </w:divBdr>
    </w:div>
    <w:div w:id="1924294350">
      <w:bodyDiv w:val="1"/>
      <w:marLeft w:val="0"/>
      <w:marRight w:val="0"/>
      <w:marTop w:val="0"/>
      <w:marBottom w:val="0"/>
      <w:divBdr>
        <w:top w:val="none" w:sz="0" w:space="0" w:color="auto"/>
        <w:left w:val="none" w:sz="0" w:space="0" w:color="auto"/>
        <w:bottom w:val="none" w:sz="0" w:space="0" w:color="auto"/>
        <w:right w:val="none" w:sz="0" w:space="0" w:color="auto"/>
      </w:divBdr>
    </w:div>
    <w:div w:id="2045712043">
      <w:bodyDiv w:val="1"/>
      <w:marLeft w:val="0"/>
      <w:marRight w:val="0"/>
      <w:marTop w:val="0"/>
      <w:marBottom w:val="0"/>
      <w:divBdr>
        <w:top w:val="none" w:sz="0" w:space="0" w:color="auto"/>
        <w:left w:val="none" w:sz="0" w:space="0" w:color="auto"/>
        <w:bottom w:val="none" w:sz="0" w:space="0" w:color="auto"/>
        <w:right w:val="none" w:sz="0" w:space="0" w:color="auto"/>
      </w:divBdr>
    </w:div>
    <w:div w:id="213551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wmf"/><Relationship Id="rId21" Type="http://schemas.openxmlformats.org/officeDocument/2006/relationships/package" Target="embeddings/Feuille_Microsoft_Office_Excel2.xlsx"/><Relationship Id="rId34" Type="http://schemas.openxmlformats.org/officeDocument/2006/relationships/image" Target="media/image23.w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chart" Target="charts/chart1.xml"/><Relationship Id="rId68" Type="http://schemas.openxmlformats.org/officeDocument/2006/relationships/image" Target="media/image49.emf"/><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w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package" Target="embeddings/Feuille_Microsoft_Office_Excel4.xlsx"/><Relationship Id="rId66" Type="http://schemas.openxmlformats.org/officeDocument/2006/relationships/chart" Target="charts/chart4.xml"/><Relationship Id="rId74" Type="http://schemas.openxmlformats.org/officeDocument/2006/relationships/image" Target="media/image55.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Feuille_Microsoft_Office_Excel5.xlsx"/><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7.emf"/><Relationship Id="rId65" Type="http://schemas.openxmlformats.org/officeDocument/2006/relationships/chart" Target="charts/chart3.xml"/><Relationship Id="rId73" Type="http://schemas.openxmlformats.org/officeDocument/2006/relationships/image" Target="media/image54.emf"/><Relationship Id="rId78" Type="http://schemas.openxmlformats.org/officeDocument/2006/relationships/hyperlink" Target="http://www.vernimmen.net/html/glossaire/definition_depreciation.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w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package" Target="embeddings/Feuille_Microsoft_Office_Excel3.xlsx"/><Relationship Id="rId64" Type="http://schemas.openxmlformats.org/officeDocument/2006/relationships/chart" Target="charts/chart2.xml"/><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5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6.emf"/><Relationship Id="rId67" Type="http://schemas.openxmlformats.org/officeDocument/2006/relationships/chart" Target="charts/chart5.xml"/><Relationship Id="rId20" Type="http://schemas.openxmlformats.org/officeDocument/2006/relationships/image" Target="media/image10.emf"/><Relationship Id="rId41" Type="http://schemas.openxmlformats.org/officeDocument/2006/relationships/image" Target="media/image30.wmf"/><Relationship Id="rId54" Type="http://schemas.openxmlformats.org/officeDocument/2006/relationships/image" Target="media/image43.emf"/><Relationship Id="rId62" Type="http://schemas.openxmlformats.org/officeDocument/2006/relationships/image" Target="media/image48.emf"/><Relationship Id="rId70" Type="http://schemas.openxmlformats.org/officeDocument/2006/relationships/image" Target="media/image51.emf"/><Relationship Id="rId75"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Feuille_Microsoft_Office_Excel1.xlsx"/><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wmf"/><Relationship Id="rId49" Type="http://schemas.openxmlformats.org/officeDocument/2006/relationships/image" Target="media/image38.emf"/><Relationship Id="rId57" Type="http://schemas.openxmlformats.org/officeDocument/2006/relationships/image" Target="media/image4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herifi\Mes%20documents\CNA\RESSOURCES%20HUMAINES\RH%202010\Emploi-formation%20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herifi\Mes%20documents\CNA\RESSOURCES%20HUMAINES\RH%202010\RH_201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herifi\Mes%20documents\CNA\RASGA\RASGA%202010\stat%20complementaire%202010\RESSOURCES%20HUMAINES\RH%202010\RH_201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herifi\Mes%20documents\CNA\RASGA\RASGA%202010\stat%20complementaire%202010\RESSOURCES%20HUMAINES\RH%202010\RH_201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cherifi\Bureau\RH\2010\Emploi-formation%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rotY val="20"/>
      <c:depthPercent val="100"/>
      <c:perspective val="30"/>
    </c:view3D>
    <c:plotArea>
      <c:layout>
        <c:manualLayout>
          <c:layoutTarget val="inner"/>
          <c:xMode val="edge"/>
          <c:yMode val="edge"/>
          <c:x val="8.3279489687377514E-2"/>
          <c:y val="0.20875229529115191"/>
          <c:w val="0.82799988514781864"/>
          <c:h val="0.78914455007915463"/>
        </c:manualLayout>
      </c:layout>
      <c:pie3DChart>
        <c:varyColors val="1"/>
        <c:ser>
          <c:idx val="0"/>
          <c:order val="0"/>
          <c:spPr>
            <a:scene3d>
              <a:camera prst="orthographicFront"/>
              <a:lightRig rig="threePt" dir="t"/>
            </a:scene3d>
            <a:sp3d>
              <a:bevelT w="114300" prst="artDeco"/>
            </a:sp3d>
          </c:spPr>
          <c:explosion val="14"/>
          <c:dLbls>
            <c:dLbl>
              <c:idx val="0"/>
              <c:layout>
                <c:manualLayout>
                  <c:x val="-0.14845611025697344"/>
                  <c:y val="4.2543703948638829E-2"/>
                </c:manualLayout>
              </c:layout>
              <c:showCatName val="1"/>
              <c:showPercent val="1"/>
              <c:separator> </c:separator>
            </c:dLbl>
            <c:dLbl>
              <c:idx val="1"/>
              <c:layout>
                <c:manualLayout>
                  <c:x val="-8.6025691463914068E-3"/>
                  <c:y val="-0.23672264654960434"/>
                </c:manualLayout>
              </c:layout>
              <c:showCatName val="1"/>
              <c:showPercent val="1"/>
              <c:separator> </c:separator>
            </c:dLbl>
            <c:dLbl>
              <c:idx val="4"/>
              <c:layout>
                <c:manualLayout>
                  <c:x val="-6.0840520719100892E-2"/>
                  <c:y val="2.4587781270424242E-2"/>
                </c:manualLayout>
              </c:layout>
              <c:showCatName val="1"/>
              <c:showPercent val="1"/>
              <c:separator> </c:separator>
            </c:dLbl>
            <c:dLbl>
              <c:idx val="5"/>
              <c:layout>
                <c:manualLayout>
                  <c:x val="-6.0416357930165317E-2"/>
                  <c:y val="-5.6160717064517134E-3"/>
                </c:manualLayout>
              </c:layout>
              <c:showCatName val="1"/>
              <c:showPercent val="1"/>
              <c:separator> </c:separator>
            </c:dLbl>
            <c:dLbl>
              <c:idx val="6"/>
              <c:layout>
                <c:manualLayout>
                  <c:x val="-8.5764201055796768E-2"/>
                  <c:y val="-4.1786436774454566E-2"/>
                </c:manualLayout>
              </c:layout>
              <c:showCatName val="1"/>
              <c:showPercent val="1"/>
              <c:separator> </c:separator>
            </c:dLbl>
            <c:dLbl>
              <c:idx val="7"/>
              <c:layout>
                <c:manualLayout>
                  <c:x val="-8.6353681950358419E-2"/>
                  <c:y val="-8.8554666832655921E-2"/>
                </c:manualLayout>
              </c:layout>
              <c:showCatName val="1"/>
              <c:showPercent val="1"/>
              <c:separator> </c:separator>
            </c:dLbl>
            <c:dLbl>
              <c:idx val="8"/>
              <c:layout>
                <c:manualLayout>
                  <c:x val="-0.10180730231807585"/>
                  <c:y val="-0.12509445706638544"/>
                </c:manualLayout>
              </c:layout>
              <c:showCatName val="1"/>
              <c:showPercent val="1"/>
              <c:separator> </c:separator>
            </c:dLbl>
            <c:dLbl>
              <c:idx val="9"/>
              <c:layout>
                <c:manualLayout>
                  <c:x val="-9.1912585581758369E-2"/>
                  <c:y val="-0.16443216831097796"/>
                </c:manualLayout>
              </c:layout>
              <c:showCatName val="1"/>
              <c:showPercent val="1"/>
              <c:separator> </c:separator>
            </c:dLbl>
            <c:dLbl>
              <c:idx val="11"/>
              <c:layout>
                <c:manualLayout>
                  <c:x val="6.7853120461573421E-2"/>
                  <c:y val="-0.14675049018082531"/>
                </c:manualLayout>
              </c:layout>
              <c:showCatName val="1"/>
              <c:showPercent val="1"/>
              <c:separator> </c:separator>
            </c:dLbl>
            <c:dLbl>
              <c:idx val="12"/>
              <c:layout>
                <c:manualLayout>
                  <c:x val="0.18052638338651841"/>
                  <c:y val="-0.15565373004263794"/>
                </c:manualLayout>
              </c:layout>
              <c:showCatName val="1"/>
              <c:showPercent val="1"/>
              <c:separator> </c:separator>
            </c:dLbl>
            <c:dLbl>
              <c:idx val="13"/>
              <c:layout>
                <c:manualLayout>
                  <c:x val="0.11377557573183095"/>
                  <c:y val="-9.9954872241762249E-2"/>
                </c:manualLayout>
              </c:layout>
              <c:showCatName val="1"/>
              <c:showPercent val="1"/>
              <c:separator> </c:separator>
            </c:dLbl>
            <c:dLbl>
              <c:idx val="14"/>
              <c:layout>
                <c:manualLayout>
                  <c:x val="0.13988431025795553"/>
                  <c:y val="-6.5934767047399923E-2"/>
                </c:manualLayout>
              </c:layout>
              <c:showCatName val="1"/>
              <c:showPercent val="1"/>
              <c:separator> </c:separator>
            </c:dLbl>
            <c:dLbl>
              <c:idx val="15"/>
              <c:layout>
                <c:manualLayout>
                  <c:x val="0.15559430541697003"/>
                  <c:y val="2.0296598300706473E-2"/>
                </c:manualLayout>
              </c:layout>
              <c:showCatName val="1"/>
              <c:showPercent val="1"/>
              <c:separator> </c:separator>
            </c:dLbl>
            <c:numFmt formatCode="0.0%" sourceLinked="0"/>
            <c:txPr>
              <a:bodyPr/>
              <a:lstStyle/>
              <a:p>
                <a:pPr>
                  <a:defRPr sz="900" b="1"/>
                </a:pPr>
                <a:endParaRPr lang="fr-FR"/>
              </a:p>
            </c:txPr>
            <c:showCatName val="1"/>
            <c:showPercent val="1"/>
            <c:separator> </c:separator>
            <c:showLeaderLines val="1"/>
          </c:dLbls>
          <c:cat>
            <c:strRef>
              <c:f>etsor1et3!$B$79:$B$94</c:f>
              <c:strCache>
                <c:ptCount val="16"/>
                <c:pt idx="0">
                  <c:v>SAA</c:v>
                </c:pt>
                <c:pt idx="1">
                  <c:v>CNMA</c:v>
                </c:pt>
                <c:pt idx="2">
                  <c:v>CAAR</c:v>
                </c:pt>
                <c:pt idx="3">
                  <c:v>CAAT</c:v>
                </c:pt>
                <c:pt idx="4">
                  <c:v>CCR</c:v>
                </c:pt>
                <c:pt idx="5">
                  <c:v>CASH</c:v>
                </c:pt>
                <c:pt idx="6">
                  <c:v>SGCI</c:v>
                </c:pt>
                <c:pt idx="7">
                  <c:v>CAGEX</c:v>
                </c:pt>
                <c:pt idx="8">
                  <c:v>2A</c:v>
                </c:pt>
                <c:pt idx="9">
                  <c:v>CIAR</c:v>
                </c:pt>
                <c:pt idx="10">
                  <c:v>TRUST</c:v>
                </c:pt>
                <c:pt idx="11">
                  <c:v>SALAMA</c:v>
                </c:pt>
                <c:pt idx="12">
                  <c:v>ALLIANCE</c:v>
                </c:pt>
                <c:pt idx="13">
                  <c:v>GAM</c:v>
                </c:pt>
                <c:pt idx="14">
                  <c:v>CARDIF</c:v>
                </c:pt>
                <c:pt idx="15">
                  <c:v>MAATEC</c:v>
                </c:pt>
              </c:strCache>
            </c:strRef>
          </c:cat>
          <c:val>
            <c:numRef>
              <c:f>etsor1et3!$E$79:$E$94</c:f>
              <c:numCache>
                <c:formatCode>_-* #,##0\ _F_-;\-* #,##0\ _F_-;_-* "-"??\ _F_-;_-@_-</c:formatCode>
                <c:ptCount val="16"/>
                <c:pt idx="0">
                  <c:v>4574</c:v>
                </c:pt>
                <c:pt idx="1">
                  <c:v>2215</c:v>
                </c:pt>
                <c:pt idx="2">
                  <c:v>1783</c:v>
                </c:pt>
                <c:pt idx="3">
                  <c:v>1558</c:v>
                </c:pt>
                <c:pt idx="4">
                  <c:v>317</c:v>
                </c:pt>
                <c:pt idx="5">
                  <c:v>355</c:v>
                </c:pt>
                <c:pt idx="6">
                  <c:v>92</c:v>
                </c:pt>
                <c:pt idx="7">
                  <c:v>178</c:v>
                </c:pt>
                <c:pt idx="8">
                  <c:v>246</c:v>
                </c:pt>
                <c:pt idx="9">
                  <c:v>275</c:v>
                </c:pt>
                <c:pt idx="10">
                  <c:v>41</c:v>
                </c:pt>
                <c:pt idx="11">
                  <c:v>47</c:v>
                </c:pt>
                <c:pt idx="12">
                  <c:v>368</c:v>
                </c:pt>
                <c:pt idx="13">
                  <c:v>783</c:v>
                </c:pt>
                <c:pt idx="14">
                  <c:v>22</c:v>
                </c:pt>
                <c:pt idx="15">
                  <c:v>13</c:v>
                </c:pt>
              </c:numCache>
            </c:numRef>
          </c:val>
        </c:ser>
        <c:dLbls>
          <c:showCatName val="1"/>
          <c:showPercent val="1"/>
        </c:dLbls>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0.14361034870641354"/>
          <c:y val="0.14294729582160207"/>
          <c:w val="0.84993744203028065"/>
          <c:h val="0.82247081183819781"/>
        </c:manualLayout>
      </c:layout>
      <c:pie3DChart>
        <c:varyColors val="1"/>
        <c:ser>
          <c:idx val="0"/>
          <c:order val="0"/>
          <c:explosion val="9"/>
          <c:dLbls>
            <c:dLbl>
              <c:idx val="1"/>
              <c:layout>
                <c:manualLayout>
                  <c:x val="-0.10676388888889179"/>
                  <c:y val="2.2874303721440697E-2"/>
                </c:manualLayout>
              </c:layout>
              <c:tx>
                <c:rich>
                  <a:bodyPr/>
                  <a:lstStyle/>
                  <a:p>
                    <a:r>
                      <a:rPr lang="en-US" sz="900" b="1"/>
                      <a:t>SAA*  23%</a:t>
                    </a:r>
                  </a:p>
                </c:rich>
              </c:tx>
              <c:showCatName val="1"/>
              <c:showPercent val="1"/>
              <c:separator> </c:separator>
            </c:dLbl>
            <c:dLbl>
              <c:idx val="2"/>
              <c:layout>
                <c:manualLayout>
                  <c:x val="-0.13501834569135723"/>
                  <c:y val="-0.22568031660619225"/>
                </c:manualLayout>
              </c:layout>
              <c:showCatName val="1"/>
              <c:showPercent val="1"/>
              <c:separator> </c:separator>
            </c:dLbl>
            <c:dLbl>
              <c:idx val="3"/>
              <c:layout>
                <c:manualLayout>
                  <c:x val="4.1116579177602804E-3"/>
                  <c:y val="-0.3166315339109258"/>
                </c:manualLayout>
              </c:layout>
              <c:showCatName val="1"/>
              <c:showPercent val="1"/>
              <c:separator> </c:separator>
            </c:dLbl>
            <c:dLbl>
              <c:idx val="4"/>
              <c:layout>
                <c:manualLayout>
                  <c:x val="0.1388208710753262"/>
                  <c:y val="-0.19871547404537473"/>
                </c:manualLayout>
              </c:layout>
              <c:showCatName val="1"/>
              <c:showPercent val="1"/>
              <c:separator> </c:separator>
            </c:dLbl>
            <c:dLbl>
              <c:idx val="5"/>
              <c:layout>
                <c:manualLayout>
                  <c:x val="0.11386952274190426"/>
                  <c:y val="-0.14700993096866041"/>
                </c:manualLayout>
              </c:layout>
              <c:showCatName val="1"/>
              <c:showPercent val="1"/>
              <c:separator> </c:separator>
            </c:dLbl>
            <c:dLbl>
              <c:idx val="7"/>
              <c:layout>
                <c:manualLayout>
                  <c:x val="8.1538606988020262E-2"/>
                  <c:y val="4.9698286146834934E-2"/>
                </c:manualLayout>
              </c:layout>
              <c:showCatName val="1"/>
              <c:showPercent val="1"/>
              <c:separator> </c:separator>
            </c:dLbl>
            <c:dLbl>
              <c:idx val="9"/>
              <c:layout>
                <c:manualLayout>
                  <c:x val="8.5548993875765537E-3"/>
                  <c:y val="0"/>
                </c:manualLayout>
              </c:layout>
              <c:showCatName val="1"/>
              <c:showPercent val="1"/>
              <c:separator> </c:separator>
            </c:dLbl>
            <c:txPr>
              <a:bodyPr/>
              <a:lstStyle/>
              <a:p>
                <a:pPr>
                  <a:defRPr sz="900" b="1"/>
                </a:pPr>
                <a:endParaRPr lang="fr-FR"/>
              </a:p>
            </c:txPr>
            <c:showCatName val="1"/>
            <c:showPercent val="1"/>
            <c:separator> </c:separator>
            <c:showLeaderLines val="1"/>
          </c:dLbls>
          <c:cat>
            <c:strRef>
              <c:f>'RH-T42'!$B$5:$B$15</c:f>
              <c:strCache>
                <c:ptCount val="10"/>
                <c:pt idx="0">
                  <c:v>CAAR*</c:v>
                </c:pt>
                <c:pt idx="1">
                  <c:v>SAA*</c:v>
                </c:pt>
                <c:pt idx="2">
                  <c:v>2A</c:v>
                </c:pt>
                <c:pt idx="3">
                  <c:v>CIAR</c:v>
                </c:pt>
                <c:pt idx="4">
                  <c:v>CAAT</c:v>
                </c:pt>
                <c:pt idx="5">
                  <c:v>TRUST*</c:v>
                </c:pt>
                <c:pt idx="6">
                  <c:v>SALAMA</c:v>
                </c:pt>
                <c:pt idx="7">
                  <c:v>GAM</c:v>
                </c:pt>
                <c:pt idx="8">
                  <c:v>ALLIANCE</c:v>
                </c:pt>
                <c:pt idx="9">
                  <c:v>CASH</c:v>
                </c:pt>
              </c:strCache>
            </c:strRef>
          </c:cat>
          <c:val>
            <c:numRef>
              <c:f>'RH-T42'!$J$5:$J$15</c:f>
              <c:numCache>
                <c:formatCode>General</c:formatCode>
                <c:ptCount val="10"/>
                <c:pt idx="0">
                  <c:v>133</c:v>
                </c:pt>
                <c:pt idx="1">
                  <c:v>308</c:v>
                </c:pt>
                <c:pt idx="2">
                  <c:v>84</c:v>
                </c:pt>
                <c:pt idx="3">
                  <c:v>310</c:v>
                </c:pt>
                <c:pt idx="4">
                  <c:v>80</c:v>
                </c:pt>
                <c:pt idx="5">
                  <c:v>86</c:v>
                </c:pt>
                <c:pt idx="6">
                  <c:v>166</c:v>
                </c:pt>
                <c:pt idx="7">
                  <c:v>64</c:v>
                </c:pt>
                <c:pt idx="8">
                  <c:v>114</c:v>
                </c:pt>
                <c:pt idx="9">
                  <c:v>8</c:v>
                </c:pt>
              </c:numCache>
            </c:numRef>
          </c:val>
        </c:ser>
      </c:pie3DChart>
      <c:spPr>
        <a:noFill/>
        <a:ln w="25400">
          <a:noFill/>
        </a:ln>
      </c:spPr>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40"/>
      <c:rotY val="100"/>
      <c:perspective val="10"/>
    </c:view3D>
    <c:plotArea>
      <c:layout>
        <c:manualLayout>
          <c:layoutTarget val="inner"/>
          <c:xMode val="edge"/>
          <c:yMode val="edge"/>
          <c:x val="3.8231933152665452E-2"/>
          <c:y val="0.13682823867548879"/>
          <c:w val="0.90034011373578304"/>
          <c:h val="0.73309621468421682"/>
        </c:manualLayout>
      </c:layout>
      <c:pie3DChart>
        <c:varyColors val="1"/>
        <c:ser>
          <c:idx val="0"/>
          <c:order val="0"/>
          <c:tx>
            <c:v>répartition des effectifs par catégories socioprofesionnelle </c:v>
          </c:tx>
          <c:spPr>
            <a:scene3d>
              <a:camera prst="orthographicFront"/>
              <a:lightRig rig="threePt" dir="t"/>
            </a:scene3d>
            <a:sp3d prstMaterial="plastic">
              <a:bevelT w="6502400" h="6502400"/>
            </a:sp3d>
          </c:spPr>
          <c:dLbls>
            <c:dLbl>
              <c:idx val="0"/>
              <c:layout>
                <c:manualLayout>
                  <c:x val="-5.8556430446196532E-3"/>
                  <c:y val="-2.2648423699889231E-2"/>
                </c:manualLayout>
              </c:layout>
              <c:tx>
                <c:rich>
                  <a:bodyPr/>
                  <a:lstStyle/>
                  <a:p>
                    <a:r>
                      <a:rPr lang="en-US"/>
                      <a:t>Cadre dirigeant et supérieurs
11,1%</a:t>
                    </a:r>
                  </a:p>
                </c:rich>
              </c:tx>
              <c:dLblPos val="bestFit"/>
              <c:showCatName val="1"/>
              <c:showPercent val="1"/>
            </c:dLbl>
            <c:dLbl>
              <c:idx val="1"/>
              <c:tx>
                <c:rich>
                  <a:bodyPr/>
                  <a:lstStyle/>
                  <a:p>
                    <a:r>
                      <a:rPr lang="en-US"/>
                      <a:t>cadre moyen
31,5%</a:t>
                    </a:r>
                  </a:p>
                </c:rich>
              </c:tx>
              <c:showCatName val="1"/>
              <c:showPercent val="1"/>
            </c:dLbl>
            <c:dLbl>
              <c:idx val="2"/>
              <c:tx>
                <c:rich>
                  <a:bodyPr/>
                  <a:lstStyle/>
                  <a:p>
                    <a:r>
                      <a:rPr lang="en-US"/>
                      <a:t>Agent de maîtrise
23,5%</a:t>
                    </a:r>
                  </a:p>
                </c:rich>
              </c:tx>
              <c:showCatName val="1"/>
              <c:showPercent val="1"/>
            </c:dLbl>
            <c:dLbl>
              <c:idx val="3"/>
              <c:layout>
                <c:manualLayout>
                  <c:x val="-0.15608143884401249"/>
                  <c:y val="0.20381305948923994"/>
                </c:manualLayout>
              </c:layout>
              <c:tx>
                <c:rich>
                  <a:bodyPr/>
                  <a:lstStyle/>
                  <a:p>
                    <a:r>
                      <a:rPr lang="en-US"/>
                      <a:t>Agent d'exécution
33,9%</a:t>
                    </a:r>
                  </a:p>
                </c:rich>
              </c:tx>
              <c:dLblPos val="bestFit"/>
              <c:showCatName val="1"/>
              <c:showPercent val="1"/>
            </c:dLbl>
            <c:txPr>
              <a:bodyPr/>
              <a:lstStyle/>
              <a:p>
                <a:pPr>
                  <a:defRPr sz="900" b="0" i="0" u="none" strike="noStrike" baseline="0">
                    <a:solidFill>
                      <a:srgbClr val="000000"/>
                    </a:solidFill>
                    <a:latin typeface="Gill Sans MT"/>
                    <a:ea typeface="Gill Sans MT"/>
                    <a:cs typeface="Gill Sans MT"/>
                  </a:defRPr>
                </a:pPr>
                <a:endParaRPr lang="fr-FR"/>
              </a:p>
            </c:txPr>
            <c:showCatName val="1"/>
            <c:showPercent val="1"/>
            <c:showLeaderLines val="1"/>
          </c:dLbls>
          <c:cat>
            <c:strRef>
              <c:f>'RH-T43'!$B$19:$B$22</c:f>
              <c:strCache>
                <c:ptCount val="4"/>
                <c:pt idx="0">
                  <c:v>Cadre dirigeant et supérieurs</c:v>
                </c:pt>
                <c:pt idx="1">
                  <c:v>cadre moyen</c:v>
                </c:pt>
                <c:pt idx="2">
                  <c:v>Agent de maîtrise</c:v>
                </c:pt>
                <c:pt idx="3">
                  <c:v>Agent d'exécution</c:v>
                </c:pt>
              </c:strCache>
            </c:strRef>
          </c:cat>
          <c:val>
            <c:numRef>
              <c:f>'RH-T43'!$C$19:$C$22</c:f>
              <c:numCache>
                <c:formatCode>General</c:formatCode>
                <c:ptCount val="4"/>
                <c:pt idx="0" formatCode="_-* #,##0\ _F_-;\-* #,##0\ _F_-;_-* &quot;-&quot;??\ _F_-;_-@_-">
                  <c:v>1428</c:v>
                </c:pt>
                <c:pt idx="1">
                  <c:v>4049</c:v>
                </c:pt>
                <c:pt idx="2" formatCode="_-* #,##0\ _F_-;\-* #,##0\ _F_-;_-* &quot;-&quot;??\ _F_-;_-@_-">
                  <c:v>3031</c:v>
                </c:pt>
                <c:pt idx="3">
                  <c:v>4365</c:v>
                </c:pt>
              </c:numCache>
            </c:numRef>
          </c:val>
        </c:ser>
        <c:dLbls>
          <c:showCatName val="1"/>
          <c:showPercent val="1"/>
        </c:dLbls>
      </c:pie3DChart>
      <c:spPr>
        <a:noFill/>
        <a:ln w="25400">
          <a:noFill/>
        </a:ln>
      </c:spPr>
    </c:plotArea>
    <c:plotVisOnly val="1"/>
    <c:dispBlanksAs val="zero"/>
  </c:chart>
  <c:spPr>
    <a:ln w="3175">
      <a:noFill/>
    </a:ln>
    <a:effectLst/>
    <a:scene3d>
      <a:camera prst="orthographicFront"/>
      <a:lightRig rig="threePt" dir="t"/>
    </a:scene3d>
    <a:sp3d/>
  </c:spPr>
  <c:txPr>
    <a:bodyPr/>
    <a:lstStyle/>
    <a:p>
      <a:pPr>
        <a:defRPr sz="1000" b="0" i="0" u="none" strike="noStrike" baseline="0">
          <a:solidFill>
            <a:srgbClr val="000000"/>
          </a:solidFill>
          <a:latin typeface="Gill Sans MT"/>
          <a:ea typeface="Gill Sans MT"/>
          <a:cs typeface="Gill Sans MT"/>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0416666666666666"/>
          <c:y val="6.9444444444447017E-3"/>
          <c:w val="0.56944444444444464"/>
          <c:h val="0.94907407407409805"/>
        </c:manualLayout>
      </c:layout>
      <c:doughnutChart>
        <c:varyColors val="1"/>
        <c:ser>
          <c:idx val="0"/>
          <c:order val="0"/>
          <c:spPr>
            <a:scene3d>
              <a:camera prst="orthographicFront"/>
              <a:lightRig rig="twoPt" dir="t"/>
            </a:scene3d>
            <a:sp3d prstMaterial="dkEdge">
              <a:bevelT w="165100" prst="coolSlant"/>
            </a:sp3d>
          </c:spPr>
          <c:explosion val="5"/>
          <c:dLbls>
            <c:dLbl>
              <c:idx val="0"/>
              <c:layout>
                <c:manualLayout>
                  <c:x val="0.12777777777777777"/>
                  <c:y val="-4.6296296296297014E-3"/>
                </c:manualLayout>
              </c:layout>
              <c:tx>
                <c:rich>
                  <a:bodyPr/>
                  <a:lstStyle/>
                  <a:p>
                    <a:pPr>
                      <a:defRPr/>
                    </a:pPr>
                    <a:r>
                      <a:rPr lang="en-US"/>
                      <a:t>&lt;à 25 ans
2,8%</a:t>
                    </a:r>
                  </a:p>
                </c:rich>
              </c:tx>
              <c:spPr/>
              <c:showCatName val="1"/>
              <c:showPercent val="1"/>
            </c:dLbl>
            <c:dLbl>
              <c:idx val="1"/>
              <c:tx>
                <c:rich>
                  <a:bodyPr/>
                  <a:lstStyle/>
                  <a:p>
                    <a:r>
                      <a:rPr lang="fr-FR"/>
                      <a:t>25 à 45ans 
65,2%</a:t>
                    </a:r>
                  </a:p>
                </c:rich>
              </c:tx>
              <c:showCatName val="1"/>
              <c:showPercent val="1"/>
            </c:dLbl>
            <c:dLbl>
              <c:idx val="2"/>
              <c:tx>
                <c:rich>
                  <a:bodyPr/>
                  <a:lstStyle/>
                  <a:p>
                    <a:r>
                      <a:rPr lang="fr-FR"/>
                      <a:t>&gt;à 45 ans 
32,0%</a:t>
                    </a:r>
                  </a:p>
                </c:rich>
              </c:tx>
              <c:showCatName val="1"/>
              <c:showPercent val="1"/>
            </c:dLbl>
            <c:showCatName val="1"/>
            <c:showPercent val="1"/>
          </c:dLbls>
          <c:cat>
            <c:strRef>
              <c:f>'RH-T44'!$B$5:$B$7</c:f>
              <c:strCache>
                <c:ptCount val="3"/>
                <c:pt idx="0">
                  <c:v>&lt;à 25 ans</c:v>
                </c:pt>
                <c:pt idx="1">
                  <c:v>25 à 45ans </c:v>
                </c:pt>
                <c:pt idx="2">
                  <c:v>&gt;à 45 ans </c:v>
                </c:pt>
              </c:strCache>
            </c:strRef>
          </c:cat>
          <c:val>
            <c:numRef>
              <c:f>'RH-T44'!$D$5:$D$7</c:f>
              <c:numCache>
                <c:formatCode>General</c:formatCode>
                <c:ptCount val="3"/>
                <c:pt idx="0">
                  <c:v>337</c:v>
                </c:pt>
                <c:pt idx="1">
                  <c:v>7875</c:v>
                </c:pt>
                <c:pt idx="2">
                  <c:v>3859</c:v>
                </c:pt>
              </c:numCache>
            </c:numRef>
          </c:val>
        </c:ser>
        <c:dLbls>
          <c:showCatName val="1"/>
          <c:showPercent val="1"/>
        </c:dLbls>
        <c:firstSliceAng val="80"/>
        <c:holeSize val="50"/>
      </c:doughnutChart>
      <c:spPr>
        <a:noFill/>
        <a:ln w="25400">
          <a:noFill/>
        </a:ln>
      </c:spPr>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600"/>
            </a:pPr>
            <a:r>
              <a:rPr lang="fr-FR" sz="1600"/>
              <a:t>Répartition du total d</a:t>
            </a:r>
            <a:r>
              <a:rPr lang="fr-FR" sz="1600" baseline="0"/>
              <a:t>e l'effectif  par wilaya en 2010</a:t>
            </a:r>
            <a:endParaRPr lang="fr-FR" sz="1600"/>
          </a:p>
        </c:rich>
      </c:tx>
    </c:title>
    <c:view3D>
      <c:rAngAx val="1"/>
    </c:view3D>
    <c:plotArea>
      <c:layout>
        <c:manualLayout>
          <c:layoutTarget val="inner"/>
          <c:xMode val="edge"/>
          <c:yMode val="edge"/>
          <c:x val="9.9494854809815444E-2"/>
          <c:y val="0.13498072601713648"/>
          <c:w val="0.87625470427309893"/>
          <c:h val="0.68378927112069265"/>
        </c:manualLayout>
      </c:layout>
      <c:bar3DChart>
        <c:barDir val="col"/>
        <c:grouping val="stacked"/>
        <c:ser>
          <c:idx val="0"/>
          <c:order val="0"/>
          <c:spPr>
            <a:solidFill>
              <a:srgbClr val="336699"/>
            </a:solidFill>
          </c:spPr>
          <c:dLbls>
            <c:dLbl>
              <c:idx val="0"/>
              <c:layout>
                <c:manualLayout>
                  <c:x val="1.88413948256468E-3"/>
                  <c:y val="-0.33460535530507557"/>
                </c:manualLayout>
              </c:layout>
              <c:showVal val="1"/>
            </c:dLbl>
            <c:dLbl>
              <c:idx val="1"/>
              <c:layout>
                <c:manualLayout>
                  <c:x val="1.8840577560131405E-3"/>
                  <c:y val="-0.11261771413799535"/>
                </c:manualLayout>
              </c:layout>
              <c:showVal val="1"/>
            </c:dLbl>
            <c:dLbl>
              <c:idx val="2"/>
              <c:layout>
                <c:manualLayout>
                  <c:x val="-5.6521732680391117E-3"/>
                  <c:y val="-9.0583813545778963E-2"/>
                </c:manualLayout>
              </c:layout>
              <c:showVal val="1"/>
            </c:dLbl>
            <c:dLbl>
              <c:idx val="3"/>
              <c:layout>
                <c:manualLayout>
                  <c:x val="0"/>
                  <c:y val="-9.5480235899604679E-2"/>
                </c:manualLayout>
              </c:layout>
              <c:showVal val="1"/>
            </c:dLbl>
            <c:dLbl>
              <c:idx val="4"/>
              <c:layout>
                <c:manualLayout>
                  <c:x val="0"/>
                  <c:y val="-8.8135602368873134E-2"/>
                </c:manualLayout>
              </c:layout>
              <c:showVal val="1"/>
            </c:dLbl>
            <c:dLbl>
              <c:idx val="5"/>
              <c:layout>
                <c:manualLayout>
                  <c:x val="5.6521732680391776E-3"/>
                  <c:y val="-6.8549912953562525E-2"/>
                </c:manualLayout>
              </c:layout>
              <c:showVal val="1"/>
            </c:dLbl>
            <c:dLbl>
              <c:idx val="6"/>
              <c:layout>
                <c:manualLayout>
                  <c:x val="1.8840577560131405E-3"/>
                  <c:y val="-7.5894546484301328E-2"/>
                </c:manualLayout>
              </c:layout>
              <c:showVal val="1"/>
            </c:dLbl>
            <c:dLbl>
              <c:idx val="7"/>
              <c:layout>
                <c:manualLayout>
                  <c:x val="0"/>
                  <c:y val="-7.3446335307388338E-2"/>
                </c:manualLayout>
              </c:layout>
              <c:showVal val="1"/>
            </c:dLbl>
            <c:dLbl>
              <c:idx val="8"/>
              <c:layout>
                <c:manualLayout>
                  <c:x val="0"/>
                  <c:y val="-7.3446335307388338E-2"/>
                </c:manualLayout>
              </c:layout>
              <c:showVal val="1"/>
            </c:dLbl>
            <c:dLbl>
              <c:idx val="9"/>
              <c:layout>
                <c:manualLayout>
                  <c:x val="-1.8840577560131405E-3"/>
                  <c:y val="-7.3446335307388422E-2"/>
                </c:manualLayout>
              </c:layout>
              <c:showVal val="1"/>
            </c:dLbl>
            <c:txPr>
              <a:bodyPr rot="0" vert="horz" anchor="t" anchorCtr="0"/>
              <a:lstStyle/>
              <a:p>
                <a:pPr>
                  <a:defRPr/>
                </a:pPr>
                <a:endParaRPr lang="fr-FR"/>
              </a:p>
            </c:txPr>
            <c:showVal val="1"/>
          </c:dLbls>
          <c:cat>
            <c:strRef>
              <c:f>' effectifs totales par twil '!$AV$62:$AV$71</c:f>
              <c:strCache>
                <c:ptCount val="10"/>
                <c:pt idx="0">
                  <c:v>Alger</c:v>
                </c:pt>
                <c:pt idx="1">
                  <c:v>oran</c:v>
                </c:pt>
                <c:pt idx="2">
                  <c:v>Constantine</c:v>
                </c:pt>
                <c:pt idx="3">
                  <c:v>Annaba</c:v>
                </c:pt>
                <c:pt idx="4">
                  <c:v>Tizi Ouzou</c:v>
                </c:pt>
                <c:pt idx="5">
                  <c:v>Sétif</c:v>
                </c:pt>
                <c:pt idx="6">
                  <c:v>Blida</c:v>
                </c:pt>
                <c:pt idx="7">
                  <c:v>Batna</c:v>
                </c:pt>
                <c:pt idx="8">
                  <c:v>Tlemcen</c:v>
                </c:pt>
                <c:pt idx="9">
                  <c:v>Ouargla</c:v>
                </c:pt>
              </c:strCache>
            </c:strRef>
          </c:cat>
          <c:val>
            <c:numRef>
              <c:f>' effectifs totales par twil '!$AW$62:$AW$71</c:f>
              <c:numCache>
                <c:formatCode>0.0%</c:formatCode>
                <c:ptCount val="10"/>
                <c:pt idx="0">
                  <c:v>0.37150163375480716</c:v>
                </c:pt>
                <c:pt idx="1">
                  <c:v>6.2366813467822184E-2</c:v>
                </c:pt>
                <c:pt idx="2">
                  <c:v>4.3401051285693985E-2</c:v>
                </c:pt>
                <c:pt idx="3">
                  <c:v>3.9281147890327058E-2</c:v>
                </c:pt>
                <c:pt idx="4">
                  <c:v>3.9068049438840742E-2</c:v>
                </c:pt>
                <c:pt idx="5">
                  <c:v>3.7789458729933251E-2</c:v>
                </c:pt>
                <c:pt idx="6">
                  <c:v>3.1538570819718711E-2</c:v>
                </c:pt>
                <c:pt idx="7">
                  <c:v>2.8555192498934512E-2</c:v>
                </c:pt>
                <c:pt idx="8">
                  <c:v>2.3511862480467102E-2</c:v>
                </c:pt>
                <c:pt idx="9">
                  <c:v>1.8965762182128143E-2</c:v>
                </c:pt>
              </c:numCache>
            </c:numRef>
          </c:val>
        </c:ser>
        <c:shape val="cylinder"/>
        <c:axId val="118231808"/>
        <c:axId val="118233344"/>
        <c:axId val="0"/>
      </c:bar3DChart>
      <c:catAx>
        <c:axId val="118231808"/>
        <c:scaling>
          <c:orientation val="minMax"/>
        </c:scaling>
        <c:axPos val="b"/>
        <c:tickLblPos val="nextTo"/>
        <c:crossAx val="118233344"/>
        <c:crosses val="autoZero"/>
        <c:auto val="1"/>
        <c:lblAlgn val="ctr"/>
        <c:lblOffset val="100"/>
      </c:catAx>
      <c:valAx>
        <c:axId val="118233344"/>
        <c:scaling>
          <c:orientation val="minMax"/>
        </c:scaling>
        <c:axPos val="l"/>
        <c:majorGridlines>
          <c:spPr>
            <a:ln>
              <a:solidFill>
                <a:srgbClr val="FFFFFF"/>
              </a:solidFill>
            </a:ln>
          </c:spPr>
        </c:majorGridlines>
        <c:numFmt formatCode="0.0%" sourceLinked="1"/>
        <c:tickLblPos val="nextTo"/>
        <c:crossAx val="118231808"/>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B40C-17A3-45C4-A6AD-5D59E108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17457</Words>
  <Characters>96015</Characters>
  <Application>Microsoft Office Word</Application>
  <DocSecurity>0</DocSecurity>
  <Lines>800</Lines>
  <Paragraphs>226</Paragraphs>
  <ScaleCrop>false</ScaleCrop>
  <HeadingPairs>
    <vt:vector size="2" baseType="variant">
      <vt:variant>
        <vt:lpstr>Titre</vt:lpstr>
      </vt:variant>
      <vt:variant>
        <vt:i4>1</vt:i4>
      </vt:variant>
    </vt:vector>
  </HeadingPairs>
  <TitlesOfParts>
    <vt:vector size="1" baseType="lpstr">
      <vt:lpstr>Rapport sur la situation générale du secteur des assurances 2000</vt:lpstr>
    </vt:vector>
  </TitlesOfParts>
  <Company>CNA</Company>
  <LinksUpToDate>false</LinksUpToDate>
  <CharactersWithSpaces>113246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la situation générale du secteur des assurances 2000</dc:title>
  <dc:creator>Abdelmadjid MESSAOUDI</dc:creator>
  <cp:lastModifiedBy>messaoudi.s</cp:lastModifiedBy>
  <cp:revision>14</cp:revision>
  <cp:lastPrinted>2012-06-25T12:58:00Z</cp:lastPrinted>
  <dcterms:created xsi:type="dcterms:W3CDTF">2012-06-24T08:20:00Z</dcterms:created>
  <dcterms:modified xsi:type="dcterms:W3CDTF">2012-06-27T15:44:00Z</dcterms:modified>
</cp:coreProperties>
</file>